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7C86" w14:textId="77777777" w:rsidR="00571B09" w:rsidRPr="00157C50" w:rsidRDefault="008E663A">
      <w:pPr>
        <w:spacing w:after="196" w:line="259" w:lineRule="auto"/>
        <w:ind w:left="-5"/>
        <w:rPr>
          <w:rFonts w:asciiTheme="minorHAnsi" w:hAnsiTheme="minorHAnsi" w:cstheme="minorHAnsi"/>
          <w:b/>
          <w:bCs/>
        </w:rPr>
      </w:pPr>
      <w:r w:rsidRPr="00157C50">
        <w:rPr>
          <w:rFonts w:asciiTheme="minorHAnsi" w:hAnsiTheme="minorHAnsi" w:cstheme="minorHAnsi"/>
          <w:b/>
          <w:bCs/>
          <w:sz w:val="32"/>
        </w:rPr>
        <w:t xml:space="preserve">Tunbridge Wells Commons Conservators </w:t>
      </w:r>
    </w:p>
    <w:p w14:paraId="1EDBE1CB" w14:textId="6D32C3BC" w:rsidR="00571B09" w:rsidRPr="00A14CB2" w:rsidRDefault="008E663A">
      <w:pPr>
        <w:spacing w:after="103" w:line="259" w:lineRule="auto"/>
        <w:ind w:left="-5"/>
        <w:rPr>
          <w:rFonts w:asciiTheme="minorHAnsi" w:hAnsiTheme="minorHAnsi" w:cstheme="minorHAnsi"/>
        </w:rPr>
      </w:pPr>
      <w:r w:rsidRPr="00A14CB2">
        <w:rPr>
          <w:rFonts w:asciiTheme="minorHAnsi" w:hAnsiTheme="minorHAnsi" w:cstheme="minorHAnsi"/>
          <w:sz w:val="32"/>
        </w:rPr>
        <w:t>Finance Report for the meeting on 2</w:t>
      </w:r>
      <w:r w:rsidR="008563A1" w:rsidRPr="00A14CB2">
        <w:rPr>
          <w:rFonts w:asciiTheme="minorHAnsi" w:hAnsiTheme="minorHAnsi" w:cstheme="minorHAnsi"/>
          <w:sz w:val="32"/>
        </w:rPr>
        <w:t>4</w:t>
      </w:r>
      <w:r w:rsidRPr="00A14CB2">
        <w:rPr>
          <w:rFonts w:asciiTheme="minorHAnsi" w:hAnsiTheme="minorHAnsi" w:cstheme="minorHAnsi"/>
          <w:sz w:val="32"/>
        </w:rPr>
        <w:t xml:space="preserve"> June 202</w:t>
      </w:r>
      <w:r w:rsidR="008563A1" w:rsidRPr="00A14CB2">
        <w:rPr>
          <w:rFonts w:asciiTheme="minorHAnsi" w:hAnsiTheme="minorHAnsi" w:cstheme="minorHAnsi"/>
          <w:sz w:val="32"/>
        </w:rPr>
        <w:t>1</w:t>
      </w:r>
    </w:p>
    <w:p w14:paraId="7471FCAA" w14:textId="77777777" w:rsidR="00571B09" w:rsidRPr="00A14CB2" w:rsidRDefault="008E663A">
      <w:pPr>
        <w:spacing w:after="181" w:line="259" w:lineRule="auto"/>
        <w:ind w:left="-5"/>
        <w:rPr>
          <w:rFonts w:asciiTheme="minorHAnsi" w:hAnsiTheme="minorHAnsi" w:cstheme="minorHAnsi"/>
        </w:rPr>
      </w:pPr>
      <w:r w:rsidRPr="00A14CB2">
        <w:rPr>
          <w:rFonts w:asciiTheme="minorHAnsi" w:hAnsiTheme="minorHAnsi" w:cstheme="minorHAnsi"/>
        </w:rPr>
        <w:t xml:space="preserve">Summary </w:t>
      </w:r>
    </w:p>
    <w:p w14:paraId="53F6F061" w14:textId="778F46E8" w:rsidR="00571B09" w:rsidRPr="00A14CB2" w:rsidRDefault="008E663A">
      <w:pPr>
        <w:ind w:left="-5"/>
        <w:rPr>
          <w:rFonts w:asciiTheme="minorHAnsi" w:hAnsiTheme="minorHAnsi" w:cstheme="minorHAnsi"/>
        </w:rPr>
      </w:pPr>
      <w:r w:rsidRPr="00A14CB2">
        <w:rPr>
          <w:rFonts w:asciiTheme="minorHAnsi" w:hAnsiTheme="minorHAnsi" w:cstheme="minorHAnsi"/>
        </w:rPr>
        <w:t xml:space="preserve">In this report and associated </w:t>
      </w:r>
      <w:r w:rsidR="008563A1" w:rsidRPr="00A14CB2">
        <w:rPr>
          <w:rFonts w:asciiTheme="minorHAnsi" w:hAnsiTheme="minorHAnsi" w:cstheme="minorHAnsi"/>
        </w:rPr>
        <w:t>documents,</w:t>
      </w:r>
      <w:r w:rsidRPr="00A14CB2">
        <w:rPr>
          <w:rFonts w:asciiTheme="minorHAnsi" w:hAnsiTheme="minorHAnsi" w:cstheme="minorHAnsi"/>
        </w:rPr>
        <w:t xml:space="preserve"> I have presented: </w:t>
      </w:r>
    </w:p>
    <w:p w14:paraId="53849862" w14:textId="64380041" w:rsidR="00571B09" w:rsidRPr="00FD7888" w:rsidRDefault="008E663A" w:rsidP="00E75F9F">
      <w:pPr>
        <w:numPr>
          <w:ilvl w:val="0"/>
          <w:numId w:val="1"/>
        </w:numPr>
        <w:spacing w:after="11"/>
        <w:ind w:hanging="360"/>
        <w:rPr>
          <w:rFonts w:asciiTheme="minorHAnsi" w:hAnsiTheme="minorHAnsi" w:cstheme="minorHAnsi"/>
        </w:rPr>
      </w:pPr>
      <w:r w:rsidRPr="00FD7888">
        <w:rPr>
          <w:rFonts w:asciiTheme="minorHAnsi" w:hAnsiTheme="minorHAnsi" w:cstheme="minorHAnsi"/>
        </w:rPr>
        <w:t>the annual financial statements of the Tunbridge Wells Commons Conservators for the year ended 31 March 202</w:t>
      </w:r>
      <w:r w:rsidR="008563A1" w:rsidRPr="00FD7888">
        <w:rPr>
          <w:rFonts w:asciiTheme="minorHAnsi" w:hAnsiTheme="minorHAnsi" w:cstheme="minorHAnsi"/>
        </w:rPr>
        <w:t>1</w:t>
      </w:r>
      <w:r w:rsidR="00FD7888" w:rsidRPr="00FD7888">
        <w:rPr>
          <w:rFonts w:asciiTheme="minorHAnsi" w:hAnsiTheme="minorHAnsi" w:cstheme="minorHAnsi"/>
        </w:rPr>
        <w:t>, including</w:t>
      </w:r>
      <w:r w:rsidR="00FD7888">
        <w:rPr>
          <w:rFonts w:asciiTheme="minorHAnsi" w:hAnsiTheme="minorHAnsi" w:cstheme="minorHAnsi"/>
        </w:rPr>
        <w:t xml:space="preserve"> </w:t>
      </w:r>
      <w:r w:rsidRPr="00FD7888">
        <w:rPr>
          <w:rFonts w:asciiTheme="minorHAnsi" w:hAnsiTheme="minorHAnsi" w:cstheme="minorHAnsi"/>
        </w:rPr>
        <w:t>a comparison against the income statement for the year ended 31 March 20</w:t>
      </w:r>
      <w:r w:rsidR="008563A1" w:rsidRPr="00FD7888">
        <w:rPr>
          <w:rFonts w:asciiTheme="minorHAnsi" w:hAnsiTheme="minorHAnsi" w:cstheme="minorHAnsi"/>
        </w:rPr>
        <w:t>20</w:t>
      </w:r>
      <w:r w:rsidRPr="00FD7888">
        <w:rPr>
          <w:rFonts w:asciiTheme="minorHAnsi" w:hAnsiTheme="minorHAnsi" w:cstheme="minorHAnsi"/>
        </w:rPr>
        <w:t xml:space="preserve">; </w:t>
      </w:r>
    </w:p>
    <w:p w14:paraId="20D6B8E7" w14:textId="07AD801C" w:rsidR="00571B09" w:rsidRPr="00A14CB2" w:rsidRDefault="008E663A">
      <w:pPr>
        <w:numPr>
          <w:ilvl w:val="0"/>
          <w:numId w:val="1"/>
        </w:numPr>
        <w:spacing w:after="11"/>
        <w:ind w:hanging="360"/>
        <w:rPr>
          <w:rFonts w:asciiTheme="minorHAnsi" w:hAnsiTheme="minorHAnsi" w:cstheme="minorHAnsi"/>
        </w:rPr>
      </w:pPr>
      <w:r w:rsidRPr="00A14CB2">
        <w:rPr>
          <w:rFonts w:asciiTheme="minorHAnsi" w:hAnsiTheme="minorHAnsi" w:cstheme="minorHAnsi"/>
        </w:rPr>
        <w:t>a comparison of the income statement for the year ended 31 March 202</w:t>
      </w:r>
      <w:r w:rsidR="008563A1" w:rsidRPr="00A14CB2">
        <w:rPr>
          <w:rFonts w:asciiTheme="minorHAnsi" w:hAnsiTheme="minorHAnsi" w:cstheme="minorHAnsi"/>
        </w:rPr>
        <w:t>1</w:t>
      </w:r>
      <w:r w:rsidRPr="00A14CB2">
        <w:rPr>
          <w:rFonts w:asciiTheme="minorHAnsi" w:hAnsiTheme="minorHAnsi" w:cstheme="minorHAnsi"/>
        </w:rPr>
        <w:t xml:space="preserve"> against the original budget for the year ended 31 March 20</w:t>
      </w:r>
      <w:r w:rsidR="008563A1" w:rsidRPr="00A14CB2">
        <w:rPr>
          <w:rFonts w:asciiTheme="minorHAnsi" w:hAnsiTheme="minorHAnsi" w:cstheme="minorHAnsi"/>
        </w:rPr>
        <w:t>20</w:t>
      </w:r>
      <w:r w:rsidRPr="00A14CB2">
        <w:rPr>
          <w:rFonts w:asciiTheme="minorHAnsi" w:hAnsiTheme="minorHAnsi" w:cstheme="minorHAnsi"/>
        </w:rPr>
        <w:t xml:space="preserve">; </w:t>
      </w:r>
      <w:r w:rsidR="00157C50">
        <w:rPr>
          <w:rFonts w:asciiTheme="minorHAnsi" w:hAnsiTheme="minorHAnsi" w:cstheme="minorHAnsi"/>
        </w:rPr>
        <w:t>and</w:t>
      </w:r>
    </w:p>
    <w:p w14:paraId="68802C77" w14:textId="2176C3B9" w:rsidR="00571B09" w:rsidRPr="00A14CB2" w:rsidRDefault="008E663A">
      <w:pPr>
        <w:numPr>
          <w:ilvl w:val="0"/>
          <w:numId w:val="1"/>
        </w:numPr>
        <w:ind w:hanging="360"/>
        <w:rPr>
          <w:rFonts w:asciiTheme="minorHAnsi" w:hAnsiTheme="minorHAnsi" w:cstheme="minorHAnsi"/>
        </w:rPr>
      </w:pPr>
      <w:r w:rsidRPr="00A14CB2">
        <w:rPr>
          <w:rFonts w:asciiTheme="minorHAnsi" w:hAnsiTheme="minorHAnsi" w:cstheme="minorHAnsi"/>
        </w:rPr>
        <w:t xml:space="preserve">the various Annual Governance and Accountability Return (AGAR) forms required to be approved and to be submitted to the external auditor and </w:t>
      </w:r>
      <w:r w:rsidR="005556ED" w:rsidRPr="00A14CB2">
        <w:rPr>
          <w:rFonts w:asciiTheme="minorHAnsi" w:hAnsiTheme="minorHAnsi" w:cstheme="minorHAnsi"/>
        </w:rPr>
        <w:t>after</w:t>
      </w:r>
      <w:r w:rsidRPr="00A14CB2">
        <w:rPr>
          <w:rFonts w:asciiTheme="minorHAnsi" w:hAnsiTheme="minorHAnsi" w:cstheme="minorHAnsi"/>
        </w:rPr>
        <w:t xml:space="preserve"> </w:t>
      </w:r>
      <w:proofErr w:type="gramStart"/>
      <w:r w:rsidRPr="00A14CB2">
        <w:rPr>
          <w:rFonts w:asciiTheme="minorHAnsi" w:hAnsiTheme="minorHAnsi" w:cstheme="minorHAnsi"/>
        </w:rPr>
        <w:t>be</w:t>
      </w:r>
      <w:proofErr w:type="gramEnd"/>
      <w:r w:rsidRPr="00A14CB2">
        <w:rPr>
          <w:rFonts w:asciiTheme="minorHAnsi" w:hAnsiTheme="minorHAnsi" w:cstheme="minorHAnsi"/>
        </w:rPr>
        <w:t xml:space="preserve"> held on public record</w:t>
      </w:r>
      <w:r w:rsidR="00157C50">
        <w:rPr>
          <w:rFonts w:asciiTheme="minorHAnsi" w:hAnsiTheme="minorHAnsi" w:cstheme="minorHAnsi"/>
        </w:rPr>
        <w:t xml:space="preserve"> along with the Auditors’ letter</w:t>
      </w:r>
      <w:r w:rsidRPr="00A14CB2">
        <w:rPr>
          <w:rFonts w:asciiTheme="minorHAnsi" w:hAnsiTheme="minorHAnsi" w:cstheme="minorHAnsi"/>
        </w:rPr>
        <w:t xml:space="preserve">. </w:t>
      </w:r>
    </w:p>
    <w:p w14:paraId="1836B410" w14:textId="34CC63D5" w:rsidR="00571B09" w:rsidRPr="00A14CB2" w:rsidRDefault="008E663A">
      <w:pPr>
        <w:ind w:left="-5"/>
        <w:rPr>
          <w:rFonts w:asciiTheme="minorHAnsi" w:hAnsiTheme="minorHAnsi" w:cstheme="minorHAnsi"/>
        </w:rPr>
      </w:pPr>
      <w:r w:rsidRPr="00A14CB2">
        <w:rPr>
          <w:rFonts w:asciiTheme="minorHAnsi" w:hAnsiTheme="minorHAnsi" w:cstheme="minorHAnsi"/>
        </w:rPr>
        <w:t>I am requesting that the Conservators formally adopt and approve the annual financial statements of the Tunbridge Wells Commons Conservators for the year ended 31 March 202</w:t>
      </w:r>
      <w:r w:rsidR="008563A1" w:rsidRPr="00A14CB2">
        <w:rPr>
          <w:rFonts w:asciiTheme="minorHAnsi" w:hAnsiTheme="minorHAnsi" w:cstheme="minorHAnsi"/>
        </w:rPr>
        <w:t>1</w:t>
      </w:r>
      <w:r w:rsidRPr="00A14CB2">
        <w:rPr>
          <w:rFonts w:asciiTheme="minorHAnsi" w:hAnsiTheme="minorHAnsi" w:cstheme="minorHAnsi"/>
        </w:rPr>
        <w:t xml:space="preserve"> and the </w:t>
      </w:r>
      <w:r w:rsidR="008563A1" w:rsidRPr="00A14CB2">
        <w:rPr>
          <w:rFonts w:asciiTheme="minorHAnsi" w:hAnsiTheme="minorHAnsi" w:cstheme="minorHAnsi"/>
        </w:rPr>
        <w:t>Annual Governance and Accountability Return (</w:t>
      </w:r>
      <w:r w:rsidRPr="00A14CB2">
        <w:rPr>
          <w:rFonts w:asciiTheme="minorHAnsi" w:hAnsiTheme="minorHAnsi" w:cstheme="minorHAnsi"/>
        </w:rPr>
        <w:t>AGAR</w:t>
      </w:r>
      <w:r w:rsidR="008563A1" w:rsidRPr="00A14CB2">
        <w:rPr>
          <w:rFonts w:asciiTheme="minorHAnsi" w:hAnsiTheme="minorHAnsi" w:cstheme="minorHAnsi"/>
        </w:rPr>
        <w:t>)</w:t>
      </w:r>
      <w:r w:rsidRPr="00A14CB2">
        <w:rPr>
          <w:rFonts w:asciiTheme="minorHAnsi" w:hAnsiTheme="minorHAnsi" w:cstheme="minorHAnsi"/>
        </w:rPr>
        <w:t xml:space="preserve"> forms. </w:t>
      </w:r>
    </w:p>
    <w:p w14:paraId="627CCAE2" w14:textId="604019B1" w:rsidR="00571B09" w:rsidRPr="00A14CB2" w:rsidRDefault="008E663A">
      <w:pPr>
        <w:spacing w:after="181" w:line="259" w:lineRule="auto"/>
        <w:ind w:left="-5"/>
        <w:rPr>
          <w:rFonts w:asciiTheme="minorHAnsi" w:hAnsiTheme="minorHAnsi" w:cstheme="minorHAnsi"/>
          <w:b/>
          <w:bCs/>
        </w:rPr>
      </w:pPr>
      <w:r w:rsidRPr="00A14CB2">
        <w:rPr>
          <w:rFonts w:asciiTheme="minorHAnsi" w:hAnsiTheme="minorHAnsi" w:cstheme="minorHAnsi"/>
          <w:b/>
          <w:bCs/>
        </w:rPr>
        <w:t>Annual financial statements for the year ended 31 March 202</w:t>
      </w:r>
      <w:r w:rsidR="005556ED">
        <w:rPr>
          <w:rFonts w:asciiTheme="minorHAnsi" w:hAnsiTheme="minorHAnsi" w:cstheme="minorHAnsi"/>
          <w:b/>
          <w:bCs/>
        </w:rPr>
        <w:t>1</w:t>
      </w:r>
      <w:r w:rsidRPr="00A14CB2">
        <w:rPr>
          <w:rFonts w:asciiTheme="minorHAnsi" w:hAnsiTheme="minorHAnsi" w:cstheme="minorHAnsi"/>
          <w:b/>
          <w:bCs/>
        </w:rPr>
        <w:t xml:space="preserve"> </w:t>
      </w:r>
      <w:r w:rsidR="00EF262A" w:rsidRPr="00A14CB2">
        <w:rPr>
          <w:rFonts w:asciiTheme="minorHAnsi" w:hAnsiTheme="minorHAnsi" w:cstheme="minorHAnsi"/>
          <w:b/>
          <w:bCs/>
        </w:rPr>
        <w:t>and with comparison to Budget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5040"/>
        <w:gridCol w:w="1219"/>
        <w:gridCol w:w="1219"/>
        <w:gridCol w:w="1311"/>
      </w:tblGrid>
      <w:tr w:rsidR="00A82820" w:rsidRPr="00A82820" w14:paraId="1C979199" w14:textId="77777777" w:rsidTr="00A8282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27B7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 w:rsidRPr="00A82820">
              <w:rPr>
                <w:rFonts w:asciiTheme="minorHAnsi" w:hAnsiTheme="minorHAnsi" w:cstheme="minorHAnsi"/>
                <w:b/>
                <w:bCs/>
              </w:rPr>
              <w:t>Income statement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7118" w14:textId="77777777" w:rsidR="00A82820" w:rsidRPr="00A82820" w:rsidRDefault="00A82820" w:rsidP="00A8282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Actual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88DA" w14:textId="77777777" w:rsidR="00A82820" w:rsidRPr="00A82820" w:rsidRDefault="00A82820" w:rsidP="00A8282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Budget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D295" w14:textId="77777777" w:rsidR="00A82820" w:rsidRPr="00A82820" w:rsidRDefault="00A82820" w:rsidP="00A8282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2820" w:rsidRPr="00A82820" w14:paraId="3B23F17E" w14:textId="77777777" w:rsidTr="00A8282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4A88" w14:textId="77777777" w:rsidR="00A82820" w:rsidRPr="00A82820" w:rsidRDefault="00A82820" w:rsidP="00A8282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4D33" w14:textId="77777777" w:rsidR="00A82820" w:rsidRPr="00A82820" w:rsidRDefault="00A82820" w:rsidP="00A8282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Year ending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78DE" w14:textId="77777777" w:rsidR="00A82820" w:rsidRPr="00A82820" w:rsidRDefault="00A82820" w:rsidP="00A8282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Year ending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A03B" w14:textId="77777777" w:rsidR="00A82820" w:rsidRPr="00A82820" w:rsidRDefault="00A82820" w:rsidP="00A8282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2820" w:rsidRPr="00A82820" w14:paraId="113033D2" w14:textId="77777777" w:rsidTr="00A8282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4490" w14:textId="77777777" w:rsidR="00A82820" w:rsidRPr="00A82820" w:rsidRDefault="00A82820" w:rsidP="00A8282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47B0" w14:textId="77777777" w:rsidR="00A82820" w:rsidRPr="00A82820" w:rsidRDefault="00A82820" w:rsidP="00A8282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31-Mar-21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230C" w14:textId="77777777" w:rsidR="00A82820" w:rsidRPr="00A82820" w:rsidRDefault="00A82820" w:rsidP="00A8282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31-Mar-21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63CB" w14:textId="77777777" w:rsidR="00A82820" w:rsidRPr="00A82820" w:rsidRDefault="00A82820" w:rsidP="00A8282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Variance</w:t>
            </w:r>
          </w:p>
        </w:tc>
      </w:tr>
      <w:tr w:rsidR="00A82820" w:rsidRPr="00A82820" w14:paraId="6272DBED" w14:textId="77777777" w:rsidTr="00A8282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C74D" w14:textId="77777777" w:rsidR="00A82820" w:rsidRPr="00A82820" w:rsidRDefault="00A82820" w:rsidP="00A8282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7771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£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F2CE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£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BC7C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£</w:t>
            </w:r>
          </w:p>
        </w:tc>
      </w:tr>
      <w:tr w:rsidR="00A82820" w:rsidRPr="00A82820" w14:paraId="00D1C2AF" w14:textId="77777777" w:rsidTr="00A8282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0F1A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82820">
              <w:rPr>
                <w:rFonts w:asciiTheme="minorHAnsi" w:hAnsiTheme="minorHAnsi" w:cstheme="minorHAnsi"/>
                <w:b/>
                <w:bCs/>
                <w:i/>
                <w:iCs/>
              </w:rPr>
              <w:t>Income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49E3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639B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F87E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82820" w:rsidRPr="00A82820" w14:paraId="1DAD06A7" w14:textId="77777777" w:rsidTr="00A8282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5CF0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Tunbridge Wells Borough Council Precept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20DA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165,850.00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4358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165,850.00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57AA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0.00</w:t>
            </w:r>
          </w:p>
        </w:tc>
      </w:tr>
      <w:tr w:rsidR="00A82820" w:rsidRPr="00A82820" w14:paraId="22E5199E" w14:textId="77777777" w:rsidTr="00A8282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EBBE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Natural England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9EE9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1,208.84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FDAC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1,475.00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B60E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  <w:color w:val="FF0000"/>
              </w:rPr>
              <w:t>-266.16</w:t>
            </w:r>
          </w:p>
        </w:tc>
      </w:tr>
      <w:tr w:rsidR="00A82820" w:rsidRPr="00A82820" w14:paraId="6046FD8F" w14:textId="77777777" w:rsidTr="00A8282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96C4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Project funding from Friends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CB47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4,349.99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0FC1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11FE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4,349.99</w:t>
            </w:r>
          </w:p>
        </w:tc>
      </w:tr>
      <w:tr w:rsidR="00A82820" w:rsidRPr="00A82820" w14:paraId="56A487C1" w14:textId="77777777" w:rsidTr="00A8282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514F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Interest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0EED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139.40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8206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350.00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F78C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  <w:color w:val="FF0000"/>
              </w:rPr>
              <w:t>-210.60</w:t>
            </w:r>
          </w:p>
        </w:tc>
      </w:tr>
      <w:tr w:rsidR="00A82820" w:rsidRPr="00A82820" w14:paraId="134689DA" w14:textId="77777777" w:rsidTr="00A8282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E569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AF01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50.00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AC9C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832F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50.00</w:t>
            </w:r>
          </w:p>
        </w:tc>
      </w:tr>
      <w:tr w:rsidR="00A82820" w:rsidRPr="00A82820" w14:paraId="3C95F89B" w14:textId="77777777" w:rsidTr="00A8282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39B4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 w:rsidRPr="00A82820">
              <w:rPr>
                <w:rFonts w:asciiTheme="minorHAnsi" w:hAnsiTheme="minorHAnsi" w:cstheme="minorHAnsi"/>
                <w:b/>
                <w:bCs/>
              </w:rPr>
              <w:t>Total income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6923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171,598.23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26C7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167,675.00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6992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3,923.23</w:t>
            </w:r>
          </w:p>
        </w:tc>
      </w:tr>
      <w:tr w:rsidR="00A82820" w:rsidRPr="00A82820" w14:paraId="2AE68ACD" w14:textId="77777777" w:rsidTr="00A8282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21CE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D153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2FCC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8C5C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82820" w:rsidRPr="00A82820" w14:paraId="70E410FD" w14:textId="77777777" w:rsidTr="00A8282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AB2B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82820">
              <w:rPr>
                <w:rFonts w:asciiTheme="minorHAnsi" w:hAnsiTheme="minorHAnsi" w:cstheme="minorHAnsi"/>
                <w:b/>
                <w:bCs/>
                <w:i/>
                <w:iCs/>
              </w:rPr>
              <w:t>Expenditure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8283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B907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086D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82820" w:rsidRPr="00A82820" w14:paraId="5BCAB780" w14:textId="77777777" w:rsidTr="00A8282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C07A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 w:rsidRPr="00A82820">
              <w:rPr>
                <w:rFonts w:asciiTheme="minorHAnsi" w:hAnsiTheme="minorHAnsi" w:cstheme="minorHAnsi"/>
                <w:b/>
                <w:bCs/>
              </w:rPr>
              <w:t>Salaries and expenses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1136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3F6D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0758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82820" w:rsidRPr="00A82820" w14:paraId="4F194CEE" w14:textId="77777777" w:rsidTr="00A8282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7F26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Salaries, NI, pension, parking and payroll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7984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66,509.01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BD4F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60,477.84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3904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  <w:color w:val="FF0000"/>
              </w:rPr>
              <w:t>-6,031.17</w:t>
            </w:r>
          </w:p>
        </w:tc>
      </w:tr>
      <w:tr w:rsidR="00A82820" w:rsidRPr="00A82820" w14:paraId="4A8D23B0" w14:textId="77777777" w:rsidTr="00A8282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37AE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Uniform and storage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D34C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600.00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D039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1,110.78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C45E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510.78</w:t>
            </w:r>
          </w:p>
        </w:tc>
      </w:tr>
      <w:tr w:rsidR="00A82820" w:rsidRPr="00A82820" w14:paraId="19D1069B" w14:textId="77777777" w:rsidTr="00A8282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F31A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 xml:space="preserve">Insurances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EFF5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1,890.99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56BC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2,650.00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1DC5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759.01</w:t>
            </w:r>
          </w:p>
        </w:tc>
      </w:tr>
      <w:tr w:rsidR="00A82820" w:rsidRPr="00A82820" w14:paraId="098D48E2" w14:textId="77777777" w:rsidTr="00A8282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1B57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Audit - internal and external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8077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1,030.00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475A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1,030.00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0450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0.00</w:t>
            </w:r>
          </w:p>
        </w:tc>
      </w:tr>
      <w:tr w:rsidR="00A82820" w:rsidRPr="00A82820" w14:paraId="6564E262" w14:textId="77777777" w:rsidTr="00A8282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B516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BC32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5,900.42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B4A4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1,208.00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AF54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  <w:color w:val="FF0000"/>
              </w:rPr>
              <w:t>-4,692.42</w:t>
            </w:r>
          </w:p>
        </w:tc>
      </w:tr>
      <w:tr w:rsidR="00A82820" w:rsidRPr="00A82820" w14:paraId="5D6DE56A" w14:textId="77777777" w:rsidTr="00A8282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C4A2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5E6E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75,930.42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8B2A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66,476.62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7EA2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  <w:color w:val="FF0000"/>
              </w:rPr>
              <w:t>-9,453.80</w:t>
            </w:r>
          </w:p>
        </w:tc>
      </w:tr>
      <w:tr w:rsidR="00A82820" w:rsidRPr="00A82820" w14:paraId="00081176" w14:textId="77777777" w:rsidTr="00A8282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082B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 w:rsidRPr="00A82820">
              <w:rPr>
                <w:rFonts w:asciiTheme="minorHAnsi" w:hAnsiTheme="minorHAnsi" w:cstheme="minorHAnsi"/>
                <w:b/>
                <w:bCs/>
              </w:rPr>
              <w:t>Maintenance of Commons etc.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52B5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B19C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8EED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82820" w:rsidRPr="00A82820" w14:paraId="531022CC" w14:textId="77777777" w:rsidTr="00A8282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9CFB" w14:textId="09005BF0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Short grass -</w:t>
            </w:r>
            <w:r w:rsidR="00157C50">
              <w:rPr>
                <w:rFonts w:asciiTheme="minorHAnsi" w:hAnsiTheme="minorHAnsi" w:cstheme="minorHAnsi"/>
              </w:rPr>
              <w:t xml:space="preserve"> </w:t>
            </w:r>
            <w:r w:rsidR="00157C50" w:rsidRPr="00A82820">
              <w:rPr>
                <w:rFonts w:asciiTheme="minorHAnsi" w:hAnsiTheme="minorHAnsi" w:cstheme="minorHAnsi"/>
              </w:rPr>
              <w:t>grass cutting</w:t>
            </w:r>
            <w:r w:rsidRPr="00A82820">
              <w:rPr>
                <w:rFonts w:asciiTheme="minorHAnsi" w:hAnsiTheme="minorHAnsi" w:cstheme="minorHAnsi"/>
              </w:rPr>
              <w:t xml:space="preserve"> contract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1D1B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11,280.00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66B4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11,735.23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F5B0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455.23</w:t>
            </w:r>
          </w:p>
        </w:tc>
      </w:tr>
      <w:tr w:rsidR="00A82820" w:rsidRPr="00A82820" w14:paraId="28FAE12D" w14:textId="77777777" w:rsidTr="00A8282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DF5A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Grass and cleared areas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411B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15,183.93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989A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26,010.00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2616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10,826.07</w:t>
            </w:r>
          </w:p>
        </w:tc>
      </w:tr>
      <w:tr w:rsidR="00A82820" w:rsidRPr="00A82820" w14:paraId="7D0F09A4" w14:textId="77777777" w:rsidTr="00A8282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4441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Trees including annual survey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4157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25,095.00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6445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13,546.00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97B6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  <w:color w:val="FF0000"/>
              </w:rPr>
              <w:t>-11,549.00</w:t>
            </w:r>
          </w:p>
        </w:tc>
      </w:tr>
      <w:tr w:rsidR="00A82820" w:rsidRPr="00A82820" w14:paraId="6444970E" w14:textId="77777777" w:rsidTr="00A8282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C167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Ditches, drainage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6AC2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1,525.00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3BE4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2,040.00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6223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515.00</w:t>
            </w:r>
          </w:p>
        </w:tc>
      </w:tr>
      <w:tr w:rsidR="00A82820" w:rsidRPr="00A82820" w14:paraId="43FF9FCD" w14:textId="77777777" w:rsidTr="00A8282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D2B9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lastRenderedPageBreak/>
              <w:t>Paths, cold bath and spring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C67E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1,875.00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ADF6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3,723.00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7636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1,848.00</w:t>
            </w:r>
          </w:p>
        </w:tc>
      </w:tr>
      <w:tr w:rsidR="00A82820" w:rsidRPr="00A82820" w14:paraId="0600B7D4" w14:textId="77777777" w:rsidTr="00A8282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5F6D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Litter control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BE47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28,999.33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6FED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29,224.68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B189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225.35</w:t>
            </w:r>
          </w:p>
        </w:tc>
      </w:tr>
      <w:tr w:rsidR="00A82820" w:rsidRPr="00A82820" w14:paraId="7F6250EA" w14:textId="77777777" w:rsidTr="00A8282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F86F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Furniture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B1E9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2,774.80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0D96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3,570.00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1A72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795.20</w:t>
            </w:r>
          </w:p>
        </w:tc>
      </w:tr>
      <w:tr w:rsidR="00A82820" w:rsidRPr="00A82820" w14:paraId="6D3B2A77" w14:textId="77777777" w:rsidTr="00A8282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287A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Barriers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B9BE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2,303.06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9DBF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5,100.00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5531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2,796.94</w:t>
            </w:r>
          </w:p>
        </w:tc>
      </w:tr>
      <w:tr w:rsidR="00A82820" w:rsidRPr="00A82820" w14:paraId="2728EAA8" w14:textId="77777777" w:rsidTr="00A8282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0634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ACD1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3,115.00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A30C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1,749.47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C406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  <w:color w:val="FF0000"/>
              </w:rPr>
              <w:t>-1,365.53</w:t>
            </w:r>
          </w:p>
        </w:tc>
      </w:tr>
      <w:tr w:rsidR="00A82820" w:rsidRPr="00A82820" w14:paraId="77F0DE53" w14:textId="77777777" w:rsidTr="00A8282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E5A7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2178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92,151.12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BE5A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96,698.38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60A8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4,547.26</w:t>
            </w:r>
          </w:p>
        </w:tc>
      </w:tr>
      <w:tr w:rsidR="00A82820" w:rsidRPr="00A82820" w14:paraId="0C3C1404" w14:textId="77777777" w:rsidTr="00A8282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196D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4D6D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3EEB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7B90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82820" w:rsidRPr="00A82820" w14:paraId="7B781D69" w14:textId="77777777" w:rsidTr="00A8282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829D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Contingency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C4D5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0CB3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4,500.00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0965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4,500.00</w:t>
            </w:r>
          </w:p>
        </w:tc>
      </w:tr>
      <w:tr w:rsidR="00A82820" w:rsidRPr="00A82820" w14:paraId="3DBC46C0" w14:textId="77777777" w:rsidTr="00A8282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4E6A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095A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C185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0707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82820" w:rsidRPr="00A82820" w14:paraId="6F662F1D" w14:textId="77777777" w:rsidTr="00A8282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F7DB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 w:rsidRPr="00A82820">
              <w:rPr>
                <w:rFonts w:asciiTheme="minorHAnsi" w:hAnsiTheme="minorHAnsi" w:cstheme="minorHAnsi"/>
                <w:b/>
                <w:bCs/>
              </w:rPr>
              <w:t>Total expenditure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9108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168,081.54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BF23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167,675.00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9CC0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  <w:color w:val="FF0000"/>
              </w:rPr>
              <w:t>-406.54</w:t>
            </w:r>
          </w:p>
        </w:tc>
      </w:tr>
      <w:tr w:rsidR="00A82820" w:rsidRPr="00A82820" w14:paraId="6507E37F" w14:textId="77777777" w:rsidTr="00A8282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62AC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3321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603D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E9B1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82820" w:rsidRPr="00A82820" w14:paraId="70ABCE57" w14:textId="77777777" w:rsidTr="00A8282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61D0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 w:rsidRPr="00A82820">
              <w:rPr>
                <w:rFonts w:asciiTheme="minorHAnsi" w:hAnsiTheme="minorHAnsi" w:cstheme="minorHAnsi"/>
                <w:b/>
                <w:bCs/>
              </w:rPr>
              <w:t>Net income/expense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713C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3,516.69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CA43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4069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3,516.69</w:t>
            </w:r>
          </w:p>
        </w:tc>
      </w:tr>
      <w:tr w:rsidR="00A82820" w:rsidRPr="00A82820" w14:paraId="721F76D8" w14:textId="77777777" w:rsidTr="00A8282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C36A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6AE3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54D7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95CB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82820" w:rsidRPr="00A82820" w14:paraId="45B31CD9" w14:textId="77777777" w:rsidTr="00A8282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1E1A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Analysed by: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9900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4866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6220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82820" w:rsidRPr="00A82820" w14:paraId="383E5B66" w14:textId="77777777" w:rsidTr="00A8282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85A8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22D3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B33F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5361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82820" w:rsidRPr="00A82820" w14:paraId="0DE7D50F" w14:textId="77777777" w:rsidTr="00A8282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2382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Planning agreement net income/(expense)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1FB3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D7F8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F292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0.00</w:t>
            </w:r>
          </w:p>
        </w:tc>
      </w:tr>
      <w:tr w:rsidR="00A82820" w:rsidRPr="00A82820" w14:paraId="71EE90E2" w14:textId="77777777" w:rsidTr="00A8282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6A68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Freehold tenants, Friends and others funded projects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D5F9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4,349.99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8228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040E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4,349.99</w:t>
            </w:r>
          </w:p>
        </w:tc>
      </w:tr>
      <w:tr w:rsidR="00A82820" w:rsidRPr="00A82820" w14:paraId="76628D55" w14:textId="77777777" w:rsidTr="00A8282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1B6B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Maintenance net income/(expense)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D8AC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  <w:color w:val="FF0000"/>
              </w:rPr>
              <w:t>-833.30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218A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8A12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  <w:color w:val="FF0000"/>
              </w:rPr>
              <w:t>-833.30</w:t>
            </w:r>
          </w:p>
        </w:tc>
      </w:tr>
      <w:tr w:rsidR="00A82820" w:rsidRPr="00A82820" w14:paraId="60D7AF44" w14:textId="77777777" w:rsidTr="00A8282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E9F1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AA54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21F2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1B0E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82820" w:rsidRPr="00A82820" w14:paraId="082375B7" w14:textId="77777777" w:rsidTr="00A8282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B2F9" w14:textId="77777777" w:rsidR="00A82820" w:rsidRPr="00A82820" w:rsidRDefault="00A82820" w:rsidP="00A8282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CA2E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3,516.69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2ABE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814E" w14:textId="77777777" w:rsidR="00A82820" w:rsidRPr="00A82820" w:rsidRDefault="00A82820" w:rsidP="00A82820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82820">
              <w:rPr>
                <w:rFonts w:asciiTheme="minorHAnsi" w:hAnsiTheme="minorHAnsi" w:cstheme="minorHAnsi"/>
              </w:rPr>
              <w:t>3,516.69</w:t>
            </w:r>
          </w:p>
        </w:tc>
      </w:tr>
    </w:tbl>
    <w:p w14:paraId="3F8E4ECE" w14:textId="77777777" w:rsidR="008563A1" w:rsidRPr="00A14CB2" w:rsidRDefault="008563A1">
      <w:pPr>
        <w:spacing w:after="181" w:line="259" w:lineRule="auto"/>
        <w:ind w:left="-5"/>
        <w:rPr>
          <w:rFonts w:asciiTheme="minorHAnsi" w:hAnsiTheme="minorHAnsi" w:cstheme="minorHAnsi"/>
        </w:rPr>
      </w:pPr>
    </w:p>
    <w:p w14:paraId="1A6F2AAD" w14:textId="570D9F58" w:rsidR="00571B09" w:rsidRPr="00A14CB2" w:rsidRDefault="008E663A">
      <w:pPr>
        <w:spacing w:after="181" w:line="259" w:lineRule="auto"/>
        <w:ind w:left="-5"/>
        <w:rPr>
          <w:rFonts w:asciiTheme="minorHAnsi" w:hAnsiTheme="minorHAnsi" w:cstheme="minorHAnsi"/>
          <w:b/>
          <w:bCs/>
        </w:rPr>
      </w:pPr>
      <w:r w:rsidRPr="00A14CB2">
        <w:rPr>
          <w:rFonts w:asciiTheme="minorHAnsi" w:hAnsiTheme="minorHAnsi" w:cstheme="minorHAnsi"/>
          <w:b/>
          <w:bCs/>
        </w:rPr>
        <w:t>Comparison of the 20</w:t>
      </w:r>
      <w:r w:rsidR="008563A1" w:rsidRPr="00A14CB2">
        <w:rPr>
          <w:rFonts w:asciiTheme="minorHAnsi" w:hAnsiTheme="minorHAnsi" w:cstheme="minorHAnsi"/>
          <w:b/>
          <w:bCs/>
        </w:rPr>
        <w:t>20</w:t>
      </w:r>
      <w:r w:rsidRPr="00A14CB2">
        <w:rPr>
          <w:rFonts w:asciiTheme="minorHAnsi" w:hAnsiTheme="minorHAnsi" w:cstheme="minorHAnsi"/>
          <w:b/>
          <w:bCs/>
        </w:rPr>
        <w:t>/2</w:t>
      </w:r>
      <w:r w:rsidR="008563A1" w:rsidRPr="00A14CB2">
        <w:rPr>
          <w:rFonts w:asciiTheme="minorHAnsi" w:hAnsiTheme="minorHAnsi" w:cstheme="minorHAnsi"/>
          <w:b/>
          <w:bCs/>
        </w:rPr>
        <w:t>1</w:t>
      </w:r>
      <w:r w:rsidRPr="00A14CB2">
        <w:rPr>
          <w:rFonts w:asciiTheme="minorHAnsi" w:hAnsiTheme="minorHAnsi" w:cstheme="minorHAnsi"/>
          <w:b/>
          <w:bCs/>
        </w:rPr>
        <w:t xml:space="preserve"> income statement </w:t>
      </w:r>
      <w:r w:rsidR="00641777" w:rsidRPr="00A14CB2">
        <w:rPr>
          <w:rFonts w:asciiTheme="minorHAnsi" w:hAnsiTheme="minorHAnsi" w:cstheme="minorHAnsi"/>
          <w:b/>
          <w:bCs/>
        </w:rPr>
        <w:t>with</w:t>
      </w:r>
      <w:r w:rsidRPr="00A14CB2">
        <w:rPr>
          <w:rFonts w:asciiTheme="minorHAnsi" w:hAnsiTheme="minorHAnsi" w:cstheme="minorHAnsi"/>
          <w:b/>
          <w:bCs/>
        </w:rPr>
        <w:t xml:space="preserve"> 20</w:t>
      </w:r>
      <w:r w:rsidR="00641777" w:rsidRPr="00A14CB2">
        <w:rPr>
          <w:rFonts w:asciiTheme="minorHAnsi" w:hAnsiTheme="minorHAnsi" w:cstheme="minorHAnsi"/>
          <w:b/>
          <w:bCs/>
        </w:rPr>
        <w:t>19</w:t>
      </w:r>
      <w:r w:rsidRPr="00A14CB2">
        <w:rPr>
          <w:rFonts w:asciiTheme="minorHAnsi" w:hAnsiTheme="minorHAnsi" w:cstheme="minorHAnsi"/>
          <w:b/>
          <w:bCs/>
        </w:rPr>
        <w:t>/</w:t>
      </w:r>
      <w:r w:rsidR="00641777" w:rsidRPr="00A14CB2">
        <w:rPr>
          <w:rFonts w:asciiTheme="minorHAnsi" w:hAnsiTheme="minorHAnsi" w:cstheme="minorHAnsi"/>
          <w:b/>
          <w:bCs/>
        </w:rPr>
        <w:t>20</w:t>
      </w:r>
      <w:r w:rsidRPr="00A14CB2">
        <w:rPr>
          <w:rFonts w:asciiTheme="minorHAnsi" w:hAnsiTheme="minorHAnsi" w:cstheme="minorHAnsi"/>
          <w:b/>
          <w:bCs/>
        </w:rPr>
        <w:t xml:space="preserve"> </w:t>
      </w:r>
    </w:p>
    <w:tbl>
      <w:tblPr>
        <w:tblW w:w="8320" w:type="dxa"/>
        <w:tblLook w:val="04A0" w:firstRow="1" w:lastRow="0" w:firstColumn="1" w:lastColumn="0" w:noHBand="0" w:noVBand="1"/>
      </w:tblPr>
      <w:tblGrid>
        <w:gridCol w:w="4820"/>
        <w:gridCol w:w="1220"/>
        <w:gridCol w:w="1220"/>
        <w:gridCol w:w="1106"/>
      </w:tblGrid>
      <w:tr w:rsidR="00FD7888" w:rsidRPr="00FD7888" w14:paraId="48D9B42F" w14:textId="77777777" w:rsidTr="00FD78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A8CB" w14:textId="77777777" w:rsidR="00FD7888" w:rsidRPr="00FD7888" w:rsidRDefault="00FD7888" w:rsidP="00FD7888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Income statement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5779" w14:textId="77777777" w:rsidR="00FD7888" w:rsidRPr="00FD7888" w:rsidRDefault="00FD7888" w:rsidP="00FD78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Actual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B42A" w14:textId="77777777" w:rsidR="00FD7888" w:rsidRPr="00FD7888" w:rsidRDefault="00FD7888" w:rsidP="00FD78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Actual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AF17" w14:textId="77777777" w:rsidR="00FD7888" w:rsidRPr="00FD7888" w:rsidRDefault="00FD7888" w:rsidP="00FD78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D7888" w:rsidRPr="00FD7888" w14:paraId="5FAA49FF" w14:textId="77777777" w:rsidTr="00FD78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5D11" w14:textId="77777777" w:rsidR="00FD7888" w:rsidRPr="00FD7888" w:rsidRDefault="00FD7888" w:rsidP="00FD7888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47E5" w14:textId="77777777" w:rsidR="00FD7888" w:rsidRPr="00FD7888" w:rsidRDefault="00FD7888" w:rsidP="00FD78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Year ending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D330" w14:textId="77777777" w:rsidR="00FD7888" w:rsidRPr="00FD7888" w:rsidRDefault="00FD7888" w:rsidP="00FD78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Year ending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BEB8" w14:textId="77777777" w:rsidR="00FD7888" w:rsidRPr="00FD7888" w:rsidRDefault="00FD7888" w:rsidP="00FD78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D7888" w:rsidRPr="00FD7888" w14:paraId="6B6ABAD1" w14:textId="77777777" w:rsidTr="00FD78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9B79" w14:textId="77777777" w:rsidR="00FD7888" w:rsidRPr="00FD7888" w:rsidRDefault="00FD7888" w:rsidP="00FD7888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30A5" w14:textId="77777777" w:rsidR="00FD7888" w:rsidRPr="00FD7888" w:rsidRDefault="00FD7888" w:rsidP="00FD78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31-Mar-21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12EB" w14:textId="77777777" w:rsidR="00FD7888" w:rsidRPr="00FD7888" w:rsidRDefault="00FD7888" w:rsidP="00FD78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31-Mar-20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8734" w14:textId="77777777" w:rsidR="00FD7888" w:rsidRPr="00FD7888" w:rsidRDefault="00FD7888" w:rsidP="00FD78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Variance</w:t>
            </w:r>
          </w:p>
        </w:tc>
      </w:tr>
      <w:tr w:rsidR="00FD7888" w:rsidRPr="00FD7888" w14:paraId="64489172" w14:textId="77777777" w:rsidTr="00FD78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D776" w14:textId="77777777" w:rsidR="00FD7888" w:rsidRPr="00FD7888" w:rsidRDefault="00FD7888" w:rsidP="00FD78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CDAA" w14:textId="77777777" w:rsidR="00FD7888" w:rsidRPr="00FD7888" w:rsidRDefault="00FD7888" w:rsidP="00FD78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£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E014" w14:textId="77777777" w:rsidR="00FD7888" w:rsidRPr="00FD7888" w:rsidRDefault="00FD7888" w:rsidP="00FD78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£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39B4" w14:textId="77777777" w:rsidR="00FD7888" w:rsidRPr="00FD7888" w:rsidRDefault="00FD7888" w:rsidP="00FD78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£</w:t>
            </w:r>
          </w:p>
        </w:tc>
      </w:tr>
      <w:tr w:rsidR="00FD7888" w:rsidRPr="00FD7888" w14:paraId="54C98D1E" w14:textId="77777777" w:rsidTr="00FD78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A133" w14:textId="77777777" w:rsidR="00FD7888" w:rsidRPr="00FD7888" w:rsidRDefault="00FD7888" w:rsidP="00FD7888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Income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F2BF" w14:textId="77777777" w:rsidR="00FD7888" w:rsidRPr="00FD7888" w:rsidRDefault="00FD7888" w:rsidP="00FD7888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85B2" w14:textId="77777777" w:rsidR="00FD7888" w:rsidRPr="00FD7888" w:rsidRDefault="00FD7888" w:rsidP="00FD7888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BE41" w14:textId="77777777" w:rsidR="00FD7888" w:rsidRPr="00FD7888" w:rsidRDefault="00FD7888" w:rsidP="00FD7888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FD7888" w:rsidRPr="00FD7888" w14:paraId="3D66EFCB" w14:textId="77777777" w:rsidTr="00FD78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9901" w14:textId="77777777" w:rsidR="00FD7888" w:rsidRPr="00FD7888" w:rsidRDefault="00FD7888" w:rsidP="00FD7888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Tunbridge Wells Borough Council Precept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A4CA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165,850.00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FA2A9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161,900.00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01FF6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3,950.00</w:t>
            </w:r>
          </w:p>
        </w:tc>
      </w:tr>
      <w:tr w:rsidR="00FD7888" w:rsidRPr="00FD7888" w14:paraId="0AF03014" w14:textId="77777777" w:rsidTr="00FD78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06E7" w14:textId="77777777" w:rsidR="00FD7888" w:rsidRPr="00FD7888" w:rsidRDefault="00FD7888" w:rsidP="00FD7888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Other contributions - general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7A2AF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8FA73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978.00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CF6AD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FF0000"/>
                <w:sz w:val="20"/>
                <w:szCs w:val="20"/>
              </w:rPr>
              <w:t>-978.00</w:t>
            </w:r>
          </w:p>
        </w:tc>
      </w:tr>
      <w:tr w:rsidR="00FD7888" w:rsidRPr="00FD7888" w14:paraId="7B97C897" w14:textId="77777777" w:rsidTr="00FD78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3207" w14:textId="77777777" w:rsidR="00FD7888" w:rsidRPr="00FD7888" w:rsidRDefault="00FD7888" w:rsidP="00FD7888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Natural England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90A51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1,208.84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D7BC1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2,948.40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142AE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FF0000"/>
                <w:sz w:val="20"/>
                <w:szCs w:val="20"/>
              </w:rPr>
              <w:t>-1,739.56</w:t>
            </w:r>
          </w:p>
        </w:tc>
      </w:tr>
      <w:tr w:rsidR="00FD7888" w:rsidRPr="00FD7888" w14:paraId="79C552BF" w14:textId="77777777" w:rsidTr="00FD78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33F8" w14:textId="77777777" w:rsidR="00FD7888" w:rsidRPr="00FD7888" w:rsidRDefault="00FD7888" w:rsidP="00FD7888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Planning agreement income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16A91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1FC5D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5,051.41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B64C2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FF0000"/>
                <w:sz w:val="20"/>
                <w:szCs w:val="20"/>
              </w:rPr>
              <w:t>-5,051.41</w:t>
            </w:r>
          </w:p>
        </w:tc>
      </w:tr>
      <w:tr w:rsidR="00FD7888" w:rsidRPr="00FD7888" w14:paraId="58736E8C" w14:textId="77777777" w:rsidTr="00FD78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555C" w14:textId="77777777" w:rsidR="00FD7888" w:rsidRPr="00FD7888" w:rsidRDefault="00FD7888" w:rsidP="00FD7888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Project funding from Freehold tenants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B7A86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820D3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17,058.00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016B2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FF0000"/>
                <w:sz w:val="20"/>
                <w:szCs w:val="20"/>
              </w:rPr>
              <w:t>-17,058.00</w:t>
            </w:r>
          </w:p>
        </w:tc>
      </w:tr>
      <w:tr w:rsidR="00FD7888" w:rsidRPr="00FD7888" w14:paraId="7DC3F717" w14:textId="77777777" w:rsidTr="00FD78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E06E" w14:textId="77777777" w:rsidR="00FD7888" w:rsidRPr="00FD7888" w:rsidRDefault="00FD7888" w:rsidP="00FD7888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Project funding from Friends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2B833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4,349.99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14701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450.00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DE055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3,899.99</w:t>
            </w:r>
          </w:p>
        </w:tc>
      </w:tr>
      <w:tr w:rsidR="00FD7888" w:rsidRPr="00FD7888" w14:paraId="0B521C29" w14:textId="77777777" w:rsidTr="00FD78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21DE" w14:textId="77777777" w:rsidR="00FD7888" w:rsidRPr="00FD7888" w:rsidRDefault="00FD7888" w:rsidP="00FD7888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Interest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F2CE0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139.40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93E13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537.70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F61A7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FF0000"/>
                <w:sz w:val="20"/>
                <w:szCs w:val="20"/>
              </w:rPr>
              <w:t>-398.30</w:t>
            </w:r>
          </w:p>
        </w:tc>
      </w:tr>
      <w:tr w:rsidR="00FD7888" w:rsidRPr="00FD7888" w14:paraId="1F380A0B" w14:textId="77777777" w:rsidTr="00FD78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1839" w14:textId="77777777" w:rsidR="00FD7888" w:rsidRPr="00FD7888" w:rsidRDefault="00FD7888" w:rsidP="00FD7888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Other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13FEA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50.00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DBB7D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E8F31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50.00</w:t>
            </w:r>
          </w:p>
        </w:tc>
      </w:tr>
      <w:tr w:rsidR="00FD7888" w:rsidRPr="00FD7888" w14:paraId="24E7890C" w14:textId="77777777" w:rsidTr="00FD7888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0729" w14:textId="77777777" w:rsidR="00FD7888" w:rsidRPr="00FD7888" w:rsidRDefault="00FD7888" w:rsidP="00FD7888">
            <w:pPr>
              <w:spacing w:after="0" w:line="240" w:lineRule="auto"/>
              <w:ind w:left="0" w:firstLine="0"/>
              <w:rPr>
                <w:rFonts w:ascii="MS Sans Serif" w:hAnsi="MS Sans Serif" w:cs="Calibri"/>
                <w:b/>
                <w:bCs/>
                <w:color w:val="auto"/>
                <w:sz w:val="20"/>
                <w:szCs w:val="20"/>
              </w:rPr>
            </w:pPr>
            <w:r w:rsidRPr="00FD7888">
              <w:rPr>
                <w:rFonts w:ascii="MS Sans Serif" w:hAnsi="MS Sans Serif" w:cs="Calibri"/>
                <w:b/>
                <w:bCs/>
                <w:color w:val="auto"/>
                <w:sz w:val="20"/>
                <w:szCs w:val="20"/>
              </w:rPr>
              <w:t>Total income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AAD8E74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171,598.23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F3EDAD3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188,923.51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95D8C98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-17,325.28</w:t>
            </w:r>
          </w:p>
        </w:tc>
      </w:tr>
      <w:tr w:rsidR="00FD7888" w:rsidRPr="00FD7888" w14:paraId="169D90ED" w14:textId="77777777" w:rsidTr="00FD7888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656D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CFF28" w14:textId="77777777" w:rsidR="00FD7888" w:rsidRPr="00FD7888" w:rsidRDefault="00FD7888" w:rsidP="00FD7888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58556" w14:textId="77777777" w:rsidR="00FD7888" w:rsidRPr="00FD7888" w:rsidRDefault="00FD7888" w:rsidP="00FD7888">
            <w:pPr>
              <w:spacing w:after="0" w:line="240" w:lineRule="auto"/>
              <w:ind w:left="0" w:firstLine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90BFC" w14:textId="77777777" w:rsidR="00FD7888" w:rsidRPr="00FD7888" w:rsidRDefault="00FD7888" w:rsidP="00FD7888">
            <w:pPr>
              <w:spacing w:after="0" w:line="240" w:lineRule="auto"/>
              <w:ind w:left="0" w:firstLine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D7888" w:rsidRPr="00FD7888" w14:paraId="354A741F" w14:textId="77777777" w:rsidTr="00FD78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876D" w14:textId="77777777" w:rsidR="00FD7888" w:rsidRPr="00FD7888" w:rsidRDefault="00FD7888" w:rsidP="00FD7888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Expenditure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2456" w14:textId="77777777" w:rsidR="00FD7888" w:rsidRPr="00FD7888" w:rsidRDefault="00FD7888" w:rsidP="00FD7888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B282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1912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FD7888" w:rsidRPr="00FD7888" w14:paraId="019EBC65" w14:textId="77777777" w:rsidTr="00FD78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A607" w14:textId="77777777" w:rsidR="00FD7888" w:rsidRPr="00FD7888" w:rsidRDefault="00FD7888" w:rsidP="00FD7888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Salaries and expenses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0912" w14:textId="77777777" w:rsidR="00FD7888" w:rsidRPr="00FD7888" w:rsidRDefault="00FD7888" w:rsidP="00FD7888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F005" w14:textId="77777777" w:rsidR="00FD7888" w:rsidRPr="00FD7888" w:rsidRDefault="00FD7888" w:rsidP="00FD7888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F303" w14:textId="77777777" w:rsidR="00FD7888" w:rsidRPr="00FD7888" w:rsidRDefault="00FD7888" w:rsidP="00FD7888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FD7888" w:rsidRPr="00FD7888" w14:paraId="71FCF275" w14:textId="77777777" w:rsidTr="00FD78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1D5F" w14:textId="77777777" w:rsidR="00FD7888" w:rsidRPr="00FD7888" w:rsidRDefault="00FD7888" w:rsidP="00FD7888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Salaries, NI, pension, parking and payroll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9A592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66,509.01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1B219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59,994.00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A3DAE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FF0000"/>
                <w:sz w:val="20"/>
                <w:szCs w:val="20"/>
              </w:rPr>
              <w:t>-6,515.01</w:t>
            </w:r>
          </w:p>
        </w:tc>
      </w:tr>
      <w:tr w:rsidR="00FD7888" w:rsidRPr="00FD7888" w14:paraId="383F16C2" w14:textId="77777777" w:rsidTr="00FD78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5FD4" w14:textId="77777777" w:rsidR="00FD7888" w:rsidRPr="00FD7888" w:rsidRDefault="00FD7888" w:rsidP="00FD7888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Uniform and storage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EFC17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600.00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9E168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704.99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957EE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104.99</w:t>
            </w:r>
          </w:p>
        </w:tc>
      </w:tr>
      <w:tr w:rsidR="00FD7888" w:rsidRPr="00FD7888" w14:paraId="6094AFF4" w14:textId="77777777" w:rsidTr="00FD78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ED63" w14:textId="77777777" w:rsidR="00FD7888" w:rsidRPr="00FD7888" w:rsidRDefault="00FD7888" w:rsidP="00FD7888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 xml:space="preserve">Insurances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7D1CB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1,890.99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848FD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1,260.33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4EF7F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FF0000"/>
                <w:sz w:val="20"/>
                <w:szCs w:val="20"/>
              </w:rPr>
              <w:t>-630.66</w:t>
            </w:r>
          </w:p>
        </w:tc>
      </w:tr>
      <w:tr w:rsidR="00FD7888" w:rsidRPr="00FD7888" w14:paraId="0517A41C" w14:textId="77777777" w:rsidTr="00FD78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1528" w14:textId="77777777" w:rsidR="00FD7888" w:rsidRPr="00FD7888" w:rsidRDefault="00FD7888" w:rsidP="00FD7888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Audit - internal and external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B807E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1,030.00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D16E5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1,560.00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44715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530.00</w:t>
            </w:r>
          </w:p>
        </w:tc>
      </w:tr>
      <w:tr w:rsidR="00FD7888" w:rsidRPr="00FD7888" w14:paraId="44631FE4" w14:textId="77777777" w:rsidTr="00FD78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717A" w14:textId="77777777" w:rsidR="00FD7888" w:rsidRPr="00FD7888" w:rsidRDefault="00FD7888" w:rsidP="00FD7888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Other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15513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5,900.42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198833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562.30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B059C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FF0000"/>
                <w:sz w:val="20"/>
                <w:szCs w:val="20"/>
              </w:rPr>
              <w:t>-5,338.12</w:t>
            </w:r>
          </w:p>
        </w:tc>
      </w:tr>
      <w:tr w:rsidR="00FD7888" w:rsidRPr="00FD7888" w14:paraId="6C32E7D5" w14:textId="77777777" w:rsidTr="00FD78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4F16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5CFFD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75,930.42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90450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64,081.62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73E03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-11,848.80</w:t>
            </w:r>
          </w:p>
        </w:tc>
      </w:tr>
      <w:tr w:rsidR="00FD7888" w:rsidRPr="00FD7888" w14:paraId="0019A856" w14:textId="77777777" w:rsidTr="00FD78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C20C" w14:textId="77777777" w:rsidR="00FD7888" w:rsidRPr="00FD7888" w:rsidRDefault="00FD7888" w:rsidP="00FD7888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Maintenance of Commons etc.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54751" w14:textId="77777777" w:rsidR="00FD7888" w:rsidRPr="00FD7888" w:rsidRDefault="00FD7888" w:rsidP="00FD7888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D92C4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446B7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FD7888" w:rsidRPr="00FD7888" w14:paraId="4BBBFDE1" w14:textId="77777777" w:rsidTr="00FD78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9426" w14:textId="71AE3C16" w:rsidR="00FD7888" w:rsidRPr="00FD7888" w:rsidRDefault="00FD7888" w:rsidP="00FD7888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Short grass -</w:t>
            </w:r>
            <w:r w:rsidR="00157C5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157C50" w:rsidRPr="00FD7888">
              <w:rPr>
                <w:rFonts w:ascii="Arial" w:hAnsi="Arial" w:cs="Arial"/>
                <w:color w:val="auto"/>
                <w:sz w:val="20"/>
                <w:szCs w:val="20"/>
              </w:rPr>
              <w:t>grass cutting</w:t>
            </w: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 xml:space="preserve"> contract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F7CC1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11,280.00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1BE78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11,280.00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4F0F0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0.00</w:t>
            </w:r>
          </w:p>
        </w:tc>
      </w:tr>
      <w:tr w:rsidR="00FD7888" w:rsidRPr="00FD7888" w14:paraId="2425126B" w14:textId="77777777" w:rsidTr="00FD78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80A6" w14:textId="77777777" w:rsidR="00FD7888" w:rsidRPr="00FD7888" w:rsidRDefault="00FD7888" w:rsidP="00FD7888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Grass and cleared areas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F26F6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15,183.93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69038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23,024.00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A0EA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7,840.07</w:t>
            </w:r>
          </w:p>
        </w:tc>
      </w:tr>
      <w:tr w:rsidR="00FD7888" w:rsidRPr="00FD7888" w14:paraId="1074C174" w14:textId="77777777" w:rsidTr="00FD78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4B71" w14:textId="77777777" w:rsidR="00FD7888" w:rsidRPr="00FD7888" w:rsidRDefault="00FD7888" w:rsidP="00FD7888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Trees including annual survey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B0D35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25,095.00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69E51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20,903.00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47120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FF0000"/>
                <w:sz w:val="20"/>
                <w:szCs w:val="20"/>
              </w:rPr>
              <w:t>-4,192.00</w:t>
            </w:r>
          </w:p>
        </w:tc>
      </w:tr>
      <w:tr w:rsidR="00FD7888" w:rsidRPr="00FD7888" w14:paraId="603AD676" w14:textId="77777777" w:rsidTr="00FD78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3709" w14:textId="77777777" w:rsidR="00FD7888" w:rsidRPr="00FD7888" w:rsidRDefault="00FD7888" w:rsidP="00FD7888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Ditches, drainage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24172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1,525.00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5587B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2,120.00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024A6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595.00</w:t>
            </w:r>
          </w:p>
        </w:tc>
      </w:tr>
      <w:tr w:rsidR="00FD7888" w:rsidRPr="00FD7888" w14:paraId="09ACFBE1" w14:textId="77777777" w:rsidTr="00FD78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44C2" w14:textId="77777777" w:rsidR="00FD7888" w:rsidRPr="00FD7888" w:rsidRDefault="00FD7888" w:rsidP="00FD7888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Paths, cold bath and spring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4A2CA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1,875.00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5F0D5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3,030.00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4DFDE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1,155.00</w:t>
            </w:r>
          </w:p>
        </w:tc>
      </w:tr>
      <w:tr w:rsidR="00FD7888" w:rsidRPr="00FD7888" w14:paraId="7EB04E6F" w14:textId="77777777" w:rsidTr="00FD78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8B01" w14:textId="77777777" w:rsidR="00FD7888" w:rsidRPr="00FD7888" w:rsidRDefault="00FD7888" w:rsidP="00FD7888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Litter control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C7BE7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28,999.33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A4541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26,931.00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F9DA9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FF0000"/>
                <w:sz w:val="20"/>
                <w:szCs w:val="20"/>
              </w:rPr>
              <w:t>-2,068.33</w:t>
            </w:r>
          </w:p>
        </w:tc>
      </w:tr>
      <w:tr w:rsidR="00FD7888" w:rsidRPr="00FD7888" w14:paraId="036CF58A" w14:textId="77777777" w:rsidTr="00FD78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E3B2" w14:textId="77777777" w:rsidR="00FD7888" w:rsidRPr="00FD7888" w:rsidRDefault="00FD7888" w:rsidP="00FD7888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Furniture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508BE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2,774.80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D3C23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2,625.00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DFC2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FF0000"/>
                <w:sz w:val="20"/>
                <w:szCs w:val="20"/>
              </w:rPr>
              <w:t>-149.80</w:t>
            </w:r>
          </w:p>
        </w:tc>
      </w:tr>
      <w:tr w:rsidR="00FD7888" w:rsidRPr="00FD7888" w14:paraId="3C2AB03A" w14:textId="77777777" w:rsidTr="00FD78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5D5E" w14:textId="77777777" w:rsidR="00FD7888" w:rsidRPr="00FD7888" w:rsidRDefault="00FD7888" w:rsidP="00FD7888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Barriers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E9565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2,303.06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63104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2,505.00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31A75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201.94</w:t>
            </w:r>
          </w:p>
        </w:tc>
      </w:tr>
      <w:tr w:rsidR="00FD7888" w:rsidRPr="00FD7888" w14:paraId="60393191" w14:textId="77777777" w:rsidTr="00FD78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83FA" w14:textId="77777777" w:rsidR="00FD7888" w:rsidRPr="00FD7888" w:rsidRDefault="00FD7888" w:rsidP="00FD7888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Other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EDEAB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3,115.00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C11F95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1,430.22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592AF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FF0000"/>
                <w:sz w:val="20"/>
                <w:szCs w:val="20"/>
              </w:rPr>
              <w:t>-1,684.78</w:t>
            </w:r>
          </w:p>
        </w:tc>
      </w:tr>
      <w:tr w:rsidR="00FD7888" w:rsidRPr="00FD7888" w14:paraId="5F5935D7" w14:textId="77777777" w:rsidTr="00FD78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7A65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72BB0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92,151.12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3E538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93,848.22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D4692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1,697.10</w:t>
            </w:r>
          </w:p>
        </w:tc>
      </w:tr>
      <w:tr w:rsidR="00FD7888" w:rsidRPr="00FD7888" w14:paraId="5084F3C5" w14:textId="77777777" w:rsidTr="00FD78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5B09" w14:textId="77777777" w:rsidR="00FD7888" w:rsidRPr="00FD7888" w:rsidRDefault="00FD7888" w:rsidP="00FD7888">
            <w:pPr>
              <w:spacing w:after="0" w:line="240" w:lineRule="auto"/>
              <w:ind w:left="0" w:firstLine="0"/>
              <w:rPr>
                <w:rFonts w:ascii="MS Sans Serif" w:hAnsi="MS Sans Serif" w:cs="Calibri"/>
                <w:b/>
                <w:bCs/>
                <w:color w:val="auto"/>
                <w:sz w:val="20"/>
                <w:szCs w:val="20"/>
              </w:rPr>
            </w:pPr>
            <w:r w:rsidRPr="00FD7888">
              <w:rPr>
                <w:rFonts w:ascii="MS Sans Serif" w:hAnsi="MS Sans Serif" w:cs="Calibri"/>
                <w:b/>
                <w:bCs/>
                <w:color w:val="auto"/>
                <w:sz w:val="20"/>
                <w:szCs w:val="20"/>
              </w:rPr>
              <w:t>Projects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8519E" w14:textId="77777777" w:rsidR="00FD7888" w:rsidRPr="00FD7888" w:rsidRDefault="00FD7888" w:rsidP="00FD7888">
            <w:pPr>
              <w:spacing w:after="0" w:line="240" w:lineRule="auto"/>
              <w:ind w:left="0" w:firstLine="0"/>
              <w:rPr>
                <w:rFonts w:ascii="MS Sans Serif" w:hAnsi="MS Sans Serif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00339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8800A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FD7888" w:rsidRPr="00FD7888" w14:paraId="52C670DE" w14:textId="77777777" w:rsidTr="00FD78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BB63" w14:textId="77777777" w:rsidR="00FD7888" w:rsidRPr="00FD7888" w:rsidRDefault="00FD7888" w:rsidP="00FD7888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Funded by planning agreements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9913D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0.00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5CDEA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1,342.62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9747B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1,342.62</w:t>
            </w:r>
          </w:p>
        </w:tc>
      </w:tr>
      <w:tr w:rsidR="00FD7888" w:rsidRPr="00FD7888" w14:paraId="66FFFDB5" w14:textId="77777777" w:rsidTr="00FD78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DADA" w14:textId="77777777" w:rsidR="00FD7888" w:rsidRPr="00FD7888" w:rsidRDefault="00FD7888" w:rsidP="00FD7888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Funded by Freehold tenants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CADBE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235FA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15,861.00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D9D7F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15,861.00</w:t>
            </w:r>
          </w:p>
        </w:tc>
      </w:tr>
      <w:tr w:rsidR="00FD7888" w:rsidRPr="00FD7888" w14:paraId="1342446F" w14:textId="77777777" w:rsidTr="00FD78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EA3D" w14:textId="77777777" w:rsidR="00FD7888" w:rsidRPr="00FD7888" w:rsidRDefault="00FD7888" w:rsidP="00FD7888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Funded by Friends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AE5B4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ADF10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1,200.00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C5D3F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1,200.00</w:t>
            </w:r>
          </w:p>
        </w:tc>
      </w:tr>
      <w:tr w:rsidR="00FD7888" w:rsidRPr="00FD7888" w14:paraId="34B788C2" w14:textId="77777777" w:rsidTr="00FD78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0441" w14:textId="77777777" w:rsidR="00FD7888" w:rsidRPr="00FD7888" w:rsidRDefault="00FD7888" w:rsidP="00FD7888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Other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818B8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38FBED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450.00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659A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450.00</w:t>
            </w:r>
          </w:p>
        </w:tc>
      </w:tr>
      <w:tr w:rsidR="00FD7888" w:rsidRPr="00FD7888" w14:paraId="562E9B01" w14:textId="77777777" w:rsidTr="00FD78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3CB8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401D7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741EA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18,853.62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886F8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18,853.62</w:t>
            </w:r>
          </w:p>
        </w:tc>
      </w:tr>
      <w:tr w:rsidR="00FD7888" w:rsidRPr="00FD7888" w14:paraId="067839F9" w14:textId="77777777" w:rsidTr="00FD78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5712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221FC" w14:textId="77777777" w:rsidR="00FD7888" w:rsidRPr="00FD7888" w:rsidRDefault="00FD7888" w:rsidP="00FD7888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E8F38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94CE7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FD7888" w:rsidRPr="00FD7888" w14:paraId="7B3ED942" w14:textId="77777777" w:rsidTr="00FD7888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C944" w14:textId="77777777" w:rsidR="00FD7888" w:rsidRPr="00FD7888" w:rsidRDefault="00FD7888" w:rsidP="00FD7888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Total expenditure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8BA1E4E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168,081.54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7295FB1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176,783.46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948DC78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8,701.92</w:t>
            </w:r>
          </w:p>
        </w:tc>
      </w:tr>
      <w:tr w:rsidR="00FD7888" w:rsidRPr="00FD7888" w14:paraId="2DE8D0AA" w14:textId="77777777" w:rsidTr="00FD7888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A7F2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4C933" w14:textId="77777777" w:rsidR="00FD7888" w:rsidRPr="00FD7888" w:rsidRDefault="00FD7888" w:rsidP="00FD7888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7A502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224C0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FD7888" w:rsidRPr="00FD7888" w14:paraId="6AED5ADD" w14:textId="77777777" w:rsidTr="00FD7888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C76C" w14:textId="77777777" w:rsidR="00FD7888" w:rsidRPr="00FD7888" w:rsidRDefault="00FD7888" w:rsidP="00FD7888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Net income/</w:t>
            </w:r>
            <w:r w:rsidRPr="00FD788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expense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18466E1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3,516.69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F6BAE1E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12,140.05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1036959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-8,623.36</w:t>
            </w:r>
          </w:p>
        </w:tc>
      </w:tr>
      <w:tr w:rsidR="00FD7888" w:rsidRPr="00FD7888" w14:paraId="3A7C9C09" w14:textId="77777777" w:rsidTr="00FD7888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C0D4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95843" w14:textId="77777777" w:rsidR="00FD7888" w:rsidRPr="00FD7888" w:rsidRDefault="00FD7888" w:rsidP="00FD7888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BD49D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84F73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FD7888" w:rsidRPr="00FD7888" w14:paraId="59EC35F2" w14:textId="77777777" w:rsidTr="00FD78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D405" w14:textId="77777777" w:rsidR="00FD7888" w:rsidRPr="00FD7888" w:rsidRDefault="00FD7888" w:rsidP="00FD7888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Analysed by: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499FC" w14:textId="77777777" w:rsidR="00FD7888" w:rsidRPr="00FD7888" w:rsidRDefault="00FD7888" w:rsidP="00FD7888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42E0B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71923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FD7888" w:rsidRPr="00FD7888" w14:paraId="3FB7AEFD" w14:textId="77777777" w:rsidTr="00FD78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63C6" w14:textId="77777777" w:rsidR="00FD7888" w:rsidRPr="00FD7888" w:rsidRDefault="00FD7888" w:rsidP="00FD7888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Planning agreement net income/(expense)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7B1F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  <w:r w:rsidRPr="00FD7888">
              <w:rPr>
                <w:rFonts w:ascii="Calibri" w:hAnsi="Calibri" w:cs="Calibri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2615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  <w:r w:rsidRPr="00FD7888">
              <w:rPr>
                <w:rFonts w:ascii="Calibri" w:hAnsi="Calibri" w:cs="Calibri"/>
              </w:rPr>
              <w:t>3,708.79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DAF5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  <w:r w:rsidRPr="00FD7888">
              <w:rPr>
                <w:rFonts w:ascii="Calibri" w:hAnsi="Calibri" w:cs="Calibri"/>
                <w:color w:val="FF0000"/>
              </w:rPr>
              <w:t>-3,708.79</w:t>
            </w:r>
          </w:p>
        </w:tc>
      </w:tr>
      <w:tr w:rsidR="00FD7888" w:rsidRPr="00FD7888" w14:paraId="228994B7" w14:textId="77777777" w:rsidTr="00FD78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EC6A" w14:textId="77777777" w:rsidR="00FD7888" w:rsidRPr="00FD7888" w:rsidRDefault="00FD7888" w:rsidP="00FD7888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Freehold tenants, Friends and others funded projects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6370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  <w:r w:rsidRPr="00FD7888">
              <w:rPr>
                <w:rFonts w:ascii="Calibri" w:hAnsi="Calibri" w:cs="Calibri"/>
              </w:rPr>
              <w:t>4,399.99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C415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  <w:r w:rsidRPr="00FD7888">
              <w:rPr>
                <w:rFonts w:ascii="Calibri" w:hAnsi="Calibri" w:cs="Calibri"/>
                <w:color w:val="FF0000"/>
              </w:rPr>
              <w:t>-3.00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5855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  <w:r w:rsidRPr="00FD7888">
              <w:rPr>
                <w:rFonts w:ascii="Calibri" w:hAnsi="Calibri" w:cs="Calibri"/>
              </w:rPr>
              <w:t>4,402.99</w:t>
            </w:r>
          </w:p>
        </w:tc>
      </w:tr>
      <w:tr w:rsidR="00FD7888" w:rsidRPr="00FD7888" w14:paraId="34891DDD" w14:textId="77777777" w:rsidTr="00FD7888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F02C" w14:textId="77777777" w:rsidR="00FD7888" w:rsidRPr="00FD7888" w:rsidRDefault="00FD7888" w:rsidP="00FD7888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color w:val="auto"/>
                <w:sz w:val="20"/>
                <w:szCs w:val="20"/>
              </w:rPr>
              <w:t>Maintenance net income/(expense)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8A99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  <w:r w:rsidRPr="00FD7888">
              <w:rPr>
                <w:rFonts w:ascii="Calibri" w:hAnsi="Calibri" w:cs="Calibri"/>
                <w:color w:val="FF0000"/>
              </w:rPr>
              <w:t>-883.30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D56A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  <w:r w:rsidRPr="00FD7888">
              <w:rPr>
                <w:rFonts w:ascii="Calibri" w:hAnsi="Calibri" w:cs="Calibri"/>
              </w:rPr>
              <w:t>8,434.26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2870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  <w:r w:rsidRPr="00FD7888">
              <w:rPr>
                <w:rFonts w:ascii="Calibri" w:hAnsi="Calibri" w:cs="Calibri"/>
                <w:color w:val="FF0000"/>
              </w:rPr>
              <w:t>-9,317.56</w:t>
            </w:r>
          </w:p>
        </w:tc>
      </w:tr>
      <w:tr w:rsidR="00FD7888" w:rsidRPr="00FD7888" w14:paraId="1ED62CAB" w14:textId="77777777" w:rsidTr="00FD7888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8493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9B458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3,516.69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895F8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12,140.05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E2AA1" w14:textId="77777777" w:rsidR="00FD7888" w:rsidRPr="00FD7888" w:rsidRDefault="00FD7888" w:rsidP="00FD7888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D788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-8,623.36</w:t>
            </w:r>
          </w:p>
        </w:tc>
      </w:tr>
    </w:tbl>
    <w:p w14:paraId="125F9085" w14:textId="01449977" w:rsidR="00571B09" w:rsidRPr="00A14CB2" w:rsidRDefault="00571B09">
      <w:pPr>
        <w:spacing w:after="185" w:line="259" w:lineRule="auto"/>
        <w:ind w:left="0" w:firstLine="0"/>
        <w:rPr>
          <w:rFonts w:asciiTheme="minorHAnsi" w:hAnsiTheme="minorHAnsi" w:cstheme="minorHAnsi"/>
        </w:rPr>
      </w:pPr>
    </w:p>
    <w:p w14:paraId="5FA1B2A2" w14:textId="791C82CF" w:rsidR="005556ED" w:rsidRPr="005556ED" w:rsidRDefault="005556ED">
      <w:pPr>
        <w:ind w:left="-5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Year on Year Comparisons</w:t>
      </w:r>
    </w:p>
    <w:p w14:paraId="77380A84" w14:textId="16268AA6" w:rsidR="00571B09" w:rsidRPr="00A14CB2" w:rsidRDefault="008E663A">
      <w:pPr>
        <w:ind w:left="-5"/>
        <w:rPr>
          <w:rFonts w:asciiTheme="minorHAnsi" w:hAnsiTheme="minorHAnsi" w:cstheme="minorHAnsi"/>
        </w:rPr>
      </w:pPr>
      <w:r w:rsidRPr="00A14CB2">
        <w:rPr>
          <w:rFonts w:asciiTheme="minorHAnsi" w:hAnsiTheme="minorHAnsi" w:cstheme="minorHAnsi"/>
        </w:rPr>
        <w:t xml:space="preserve">Income was </w:t>
      </w:r>
      <w:r w:rsidR="00003A38">
        <w:rPr>
          <w:rFonts w:asciiTheme="minorHAnsi" w:hAnsiTheme="minorHAnsi" w:cstheme="minorHAnsi"/>
        </w:rPr>
        <w:t>down</w:t>
      </w:r>
      <w:r w:rsidRPr="00A14CB2">
        <w:rPr>
          <w:rFonts w:asciiTheme="minorHAnsi" w:hAnsiTheme="minorHAnsi" w:cstheme="minorHAnsi"/>
        </w:rPr>
        <w:t xml:space="preserve"> £</w:t>
      </w:r>
      <w:r w:rsidR="00003A38">
        <w:rPr>
          <w:rFonts w:asciiTheme="minorHAnsi" w:hAnsiTheme="minorHAnsi" w:cstheme="minorHAnsi"/>
        </w:rPr>
        <w:t>17.3</w:t>
      </w:r>
      <w:r w:rsidRPr="00A14CB2">
        <w:rPr>
          <w:rFonts w:asciiTheme="minorHAnsi" w:hAnsiTheme="minorHAnsi" w:cstheme="minorHAnsi"/>
        </w:rPr>
        <w:t xml:space="preserve">k reflecting </w:t>
      </w:r>
      <w:r w:rsidR="00003A38">
        <w:rPr>
          <w:rFonts w:asciiTheme="minorHAnsi" w:hAnsiTheme="minorHAnsi" w:cstheme="minorHAnsi"/>
        </w:rPr>
        <w:t xml:space="preserve">that the </w:t>
      </w:r>
      <w:r w:rsidRPr="00A14CB2">
        <w:rPr>
          <w:rFonts w:asciiTheme="minorHAnsi" w:hAnsiTheme="minorHAnsi" w:cstheme="minorHAnsi"/>
        </w:rPr>
        <w:t xml:space="preserve">Freehold </w:t>
      </w:r>
      <w:r w:rsidR="00003A38">
        <w:rPr>
          <w:rFonts w:asciiTheme="minorHAnsi" w:hAnsiTheme="minorHAnsi" w:cstheme="minorHAnsi"/>
        </w:rPr>
        <w:t>T</w:t>
      </w:r>
      <w:r w:rsidRPr="00A14CB2">
        <w:rPr>
          <w:rFonts w:asciiTheme="minorHAnsi" w:hAnsiTheme="minorHAnsi" w:cstheme="minorHAnsi"/>
        </w:rPr>
        <w:t xml:space="preserve">enant projects </w:t>
      </w:r>
      <w:r w:rsidR="00003A38">
        <w:rPr>
          <w:rFonts w:asciiTheme="minorHAnsi" w:hAnsiTheme="minorHAnsi" w:cstheme="minorHAnsi"/>
        </w:rPr>
        <w:t>were paid directly by them</w:t>
      </w:r>
      <w:r w:rsidRPr="00A14CB2">
        <w:rPr>
          <w:rFonts w:asciiTheme="minorHAnsi" w:hAnsiTheme="minorHAnsi" w:cstheme="minorHAnsi"/>
        </w:rPr>
        <w:t xml:space="preserve">. The precept increased in line with inflation. </w:t>
      </w:r>
    </w:p>
    <w:p w14:paraId="3BF85FBE" w14:textId="6C44E906" w:rsidR="00571B09" w:rsidRPr="00A14CB2" w:rsidRDefault="008E663A">
      <w:pPr>
        <w:ind w:left="-5"/>
        <w:rPr>
          <w:rFonts w:asciiTheme="minorHAnsi" w:hAnsiTheme="minorHAnsi" w:cstheme="minorHAnsi"/>
        </w:rPr>
      </w:pPr>
      <w:r w:rsidRPr="00A14CB2">
        <w:rPr>
          <w:rFonts w:asciiTheme="minorHAnsi" w:hAnsiTheme="minorHAnsi" w:cstheme="minorHAnsi"/>
        </w:rPr>
        <w:t>Salaries and expenses were up £</w:t>
      </w:r>
      <w:r w:rsidR="00003A38">
        <w:rPr>
          <w:rFonts w:asciiTheme="minorHAnsi" w:hAnsiTheme="minorHAnsi" w:cstheme="minorHAnsi"/>
        </w:rPr>
        <w:t>6</w:t>
      </w:r>
      <w:r w:rsidRPr="00A14CB2">
        <w:rPr>
          <w:rFonts w:asciiTheme="minorHAnsi" w:hAnsiTheme="minorHAnsi" w:cstheme="minorHAnsi"/>
        </w:rPr>
        <w:t xml:space="preserve">.5K principally </w:t>
      </w:r>
      <w:r w:rsidR="005556ED" w:rsidRPr="00A14CB2">
        <w:rPr>
          <w:rFonts w:asciiTheme="minorHAnsi" w:hAnsiTheme="minorHAnsi" w:cstheme="minorHAnsi"/>
        </w:rPr>
        <w:t>consequently</w:t>
      </w:r>
      <w:r w:rsidRPr="00A14CB2">
        <w:rPr>
          <w:rFonts w:asciiTheme="minorHAnsi" w:hAnsiTheme="minorHAnsi" w:cstheme="minorHAnsi"/>
        </w:rPr>
        <w:t xml:space="preserve"> </w:t>
      </w:r>
      <w:r w:rsidR="00003A38">
        <w:rPr>
          <w:rFonts w:asciiTheme="minorHAnsi" w:hAnsiTheme="minorHAnsi" w:cstheme="minorHAnsi"/>
        </w:rPr>
        <w:t>amounts paid in relation to the previous Clerk leaving his position.</w:t>
      </w:r>
      <w:r w:rsidRPr="00A14CB2">
        <w:rPr>
          <w:rFonts w:asciiTheme="minorHAnsi" w:hAnsiTheme="minorHAnsi" w:cstheme="minorHAnsi"/>
        </w:rPr>
        <w:t xml:space="preserve"> </w:t>
      </w:r>
      <w:r w:rsidR="005A4D89">
        <w:rPr>
          <w:rFonts w:asciiTheme="minorHAnsi" w:hAnsiTheme="minorHAnsi" w:cstheme="minorHAnsi"/>
        </w:rPr>
        <w:t>Other expenses were higher by £5.9k for web design and email upgrade, which were mainly funded by the Friends</w:t>
      </w:r>
      <w:r w:rsidRPr="00A14CB2">
        <w:rPr>
          <w:rFonts w:asciiTheme="minorHAnsi" w:hAnsiTheme="minorHAnsi" w:cstheme="minorHAnsi"/>
        </w:rPr>
        <w:t xml:space="preserve">. </w:t>
      </w:r>
    </w:p>
    <w:p w14:paraId="427DC42E" w14:textId="38A85D8F" w:rsidR="00571B09" w:rsidRPr="00A14CB2" w:rsidRDefault="008E663A">
      <w:pPr>
        <w:ind w:left="-5"/>
        <w:rPr>
          <w:rFonts w:asciiTheme="minorHAnsi" w:hAnsiTheme="minorHAnsi" w:cstheme="minorHAnsi"/>
        </w:rPr>
      </w:pPr>
      <w:r w:rsidRPr="00A14CB2">
        <w:rPr>
          <w:rFonts w:asciiTheme="minorHAnsi" w:hAnsiTheme="minorHAnsi" w:cstheme="minorHAnsi"/>
        </w:rPr>
        <w:t>The costs of the maintenance of the Commons in 20</w:t>
      </w:r>
      <w:r w:rsidR="005A4D89">
        <w:rPr>
          <w:rFonts w:asciiTheme="minorHAnsi" w:hAnsiTheme="minorHAnsi" w:cstheme="minorHAnsi"/>
        </w:rPr>
        <w:t>20</w:t>
      </w:r>
      <w:r w:rsidRPr="00A14CB2">
        <w:rPr>
          <w:rFonts w:asciiTheme="minorHAnsi" w:hAnsiTheme="minorHAnsi" w:cstheme="minorHAnsi"/>
        </w:rPr>
        <w:t>/2</w:t>
      </w:r>
      <w:r w:rsidR="005A4D89">
        <w:rPr>
          <w:rFonts w:asciiTheme="minorHAnsi" w:hAnsiTheme="minorHAnsi" w:cstheme="minorHAnsi"/>
        </w:rPr>
        <w:t>1</w:t>
      </w:r>
      <w:r w:rsidRPr="00A14CB2">
        <w:rPr>
          <w:rFonts w:asciiTheme="minorHAnsi" w:hAnsiTheme="minorHAnsi" w:cstheme="minorHAnsi"/>
        </w:rPr>
        <w:t xml:space="preserve"> was broadly </w:t>
      </w:r>
      <w:r w:rsidR="005556ED" w:rsidRPr="00A14CB2">
        <w:rPr>
          <w:rFonts w:asciiTheme="minorHAnsi" w:hAnsiTheme="minorHAnsi" w:cstheme="minorHAnsi"/>
        </w:rPr>
        <w:t>like</w:t>
      </w:r>
      <w:r w:rsidRPr="00A14CB2">
        <w:rPr>
          <w:rFonts w:asciiTheme="minorHAnsi" w:hAnsiTheme="minorHAnsi" w:cstheme="minorHAnsi"/>
        </w:rPr>
        <w:t xml:space="preserve"> that in 201</w:t>
      </w:r>
      <w:r w:rsidR="005A4D89">
        <w:rPr>
          <w:rFonts w:asciiTheme="minorHAnsi" w:hAnsiTheme="minorHAnsi" w:cstheme="minorHAnsi"/>
        </w:rPr>
        <w:t>9</w:t>
      </w:r>
      <w:r w:rsidRPr="00A14CB2">
        <w:rPr>
          <w:rFonts w:asciiTheme="minorHAnsi" w:hAnsiTheme="minorHAnsi" w:cstheme="minorHAnsi"/>
        </w:rPr>
        <w:t>/</w:t>
      </w:r>
      <w:r w:rsidR="005A4D89">
        <w:rPr>
          <w:rFonts w:asciiTheme="minorHAnsi" w:hAnsiTheme="minorHAnsi" w:cstheme="minorHAnsi"/>
        </w:rPr>
        <w:t>20</w:t>
      </w:r>
      <w:r w:rsidRPr="00A14CB2">
        <w:rPr>
          <w:rFonts w:asciiTheme="minorHAnsi" w:hAnsiTheme="minorHAnsi" w:cstheme="minorHAnsi"/>
        </w:rPr>
        <w:t xml:space="preserve">. There was a conscious effort to reduce costs </w:t>
      </w:r>
      <w:r w:rsidR="005A4D89">
        <w:rPr>
          <w:rFonts w:asciiTheme="minorHAnsi" w:hAnsiTheme="minorHAnsi" w:cstheme="minorHAnsi"/>
        </w:rPr>
        <w:t xml:space="preserve">to </w:t>
      </w:r>
      <w:r w:rsidRPr="00A14CB2">
        <w:rPr>
          <w:rFonts w:asciiTheme="minorHAnsi" w:hAnsiTheme="minorHAnsi" w:cstheme="minorHAnsi"/>
        </w:rPr>
        <w:t xml:space="preserve">reduce a potential budget deficit which in the end did not transpire. </w:t>
      </w:r>
    </w:p>
    <w:p w14:paraId="297F0233" w14:textId="11CF23B0" w:rsidR="00571B09" w:rsidRPr="00A14CB2" w:rsidRDefault="008E663A">
      <w:pPr>
        <w:ind w:left="-5"/>
        <w:rPr>
          <w:rFonts w:asciiTheme="minorHAnsi" w:hAnsiTheme="minorHAnsi" w:cstheme="minorHAnsi"/>
        </w:rPr>
      </w:pPr>
      <w:r w:rsidRPr="00A14CB2">
        <w:rPr>
          <w:rFonts w:asciiTheme="minorHAnsi" w:hAnsiTheme="minorHAnsi" w:cstheme="minorHAnsi"/>
        </w:rPr>
        <w:t xml:space="preserve">The surplus for the year can be analysed </w:t>
      </w:r>
      <w:r w:rsidR="005A4D89">
        <w:rPr>
          <w:rFonts w:asciiTheme="minorHAnsi" w:hAnsiTheme="minorHAnsi" w:cstheme="minorHAnsi"/>
        </w:rPr>
        <w:t>of</w:t>
      </w:r>
      <w:r w:rsidRPr="00A14CB2">
        <w:rPr>
          <w:rFonts w:asciiTheme="minorHAnsi" w:hAnsiTheme="minorHAnsi" w:cstheme="minorHAnsi"/>
        </w:rPr>
        <w:t xml:space="preserve"> £3.</w:t>
      </w:r>
      <w:r w:rsidR="005A4D89">
        <w:rPr>
          <w:rFonts w:asciiTheme="minorHAnsi" w:hAnsiTheme="minorHAnsi" w:cstheme="minorHAnsi"/>
        </w:rPr>
        <w:t>5</w:t>
      </w:r>
      <w:r w:rsidRPr="00A14CB2">
        <w:rPr>
          <w:rFonts w:asciiTheme="minorHAnsi" w:hAnsiTheme="minorHAnsi" w:cstheme="minorHAnsi"/>
        </w:rPr>
        <w:t xml:space="preserve">k arising from </w:t>
      </w:r>
      <w:r w:rsidR="005A4D89">
        <w:rPr>
          <w:rFonts w:asciiTheme="minorHAnsi" w:hAnsiTheme="minorHAnsi" w:cstheme="minorHAnsi"/>
        </w:rPr>
        <w:t xml:space="preserve">the </w:t>
      </w:r>
      <w:r w:rsidR="005556ED">
        <w:rPr>
          <w:rFonts w:asciiTheme="minorHAnsi" w:hAnsiTheme="minorHAnsi" w:cstheme="minorHAnsi"/>
        </w:rPr>
        <w:t xml:space="preserve">Freehold Tenants and </w:t>
      </w:r>
      <w:r w:rsidR="005A4D89">
        <w:rPr>
          <w:rFonts w:asciiTheme="minorHAnsi" w:hAnsiTheme="minorHAnsi" w:cstheme="minorHAnsi"/>
        </w:rPr>
        <w:t>Friends projects.</w:t>
      </w:r>
      <w:r w:rsidRPr="00A14CB2">
        <w:rPr>
          <w:rFonts w:asciiTheme="minorHAnsi" w:hAnsiTheme="minorHAnsi" w:cstheme="minorHAnsi"/>
        </w:rPr>
        <w:t xml:space="preserve"> </w:t>
      </w:r>
    </w:p>
    <w:p w14:paraId="445E0A2D" w14:textId="77777777" w:rsidR="005556ED" w:rsidRDefault="005556ED" w:rsidP="005A4D89">
      <w:pPr>
        <w:spacing w:after="200" w:line="259" w:lineRule="auto"/>
        <w:ind w:left="0" w:firstLine="0"/>
        <w:rPr>
          <w:rFonts w:asciiTheme="minorHAnsi" w:hAnsiTheme="minorHAnsi" w:cstheme="minorHAnsi"/>
        </w:rPr>
      </w:pPr>
    </w:p>
    <w:p w14:paraId="6D52DA14" w14:textId="66FC5D04" w:rsidR="005556ED" w:rsidRPr="005556ED" w:rsidRDefault="005556ED" w:rsidP="005A4D89">
      <w:pPr>
        <w:spacing w:after="200" w:line="259" w:lineRule="auto"/>
        <w:ind w:left="0" w:firstLine="0"/>
        <w:rPr>
          <w:rFonts w:asciiTheme="minorHAnsi" w:hAnsiTheme="minorHAnsi" w:cstheme="minorHAnsi"/>
          <w:b/>
          <w:bCs/>
        </w:rPr>
      </w:pPr>
      <w:r w:rsidRPr="005556ED">
        <w:rPr>
          <w:rFonts w:asciiTheme="minorHAnsi" w:hAnsiTheme="minorHAnsi" w:cstheme="minorHAnsi"/>
          <w:b/>
          <w:bCs/>
        </w:rPr>
        <w:lastRenderedPageBreak/>
        <w:t>Comparisons to Budget</w:t>
      </w:r>
    </w:p>
    <w:p w14:paraId="52A1BB76" w14:textId="66B949D8" w:rsidR="005A4D89" w:rsidRDefault="005A4D89" w:rsidP="005A4D89">
      <w:pPr>
        <w:spacing w:after="200" w:line="259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8E663A" w:rsidRPr="00A14CB2">
        <w:rPr>
          <w:rFonts w:asciiTheme="minorHAnsi" w:hAnsiTheme="minorHAnsi" w:cstheme="minorHAnsi"/>
        </w:rPr>
        <w:t>ncome was up against budget by £4.</w:t>
      </w:r>
      <w:r>
        <w:rPr>
          <w:rFonts w:asciiTheme="minorHAnsi" w:hAnsiTheme="minorHAnsi" w:cstheme="minorHAnsi"/>
        </w:rPr>
        <w:t>0</w:t>
      </w:r>
      <w:r w:rsidR="008E663A" w:rsidRPr="00A14CB2">
        <w:rPr>
          <w:rFonts w:asciiTheme="minorHAnsi" w:hAnsiTheme="minorHAnsi" w:cstheme="minorHAnsi"/>
        </w:rPr>
        <w:t xml:space="preserve">k </w:t>
      </w:r>
      <w:r w:rsidR="005556ED" w:rsidRPr="00A14CB2">
        <w:rPr>
          <w:rFonts w:asciiTheme="minorHAnsi" w:hAnsiTheme="minorHAnsi" w:cstheme="minorHAnsi"/>
        </w:rPr>
        <w:t>because of</w:t>
      </w:r>
      <w:r w:rsidR="008E663A" w:rsidRPr="00A14CB2">
        <w:rPr>
          <w:rFonts w:asciiTheme="minorHAnsi" w:hAnsiTheme="minorHAnsi" w:cstheme="minorHAnsi"/>
        </w:rPr>
        <w:t xml:space="preserve"> project funding of £</w:t>
      </w:r>
      <w:r>
        <w:rPr>
          <w:rFonts w:asciiTheme="minorHAnsi" w:hAnsiTheme="minorHAnsi" w:cstheme="minorHAnsi"/>
        </w:rPr>
        <w:t>4</w:t>
      </w:r>
      <w:r w:rsidR="008E663A" w:rsidRPr="00A14CB2">
        <w:rPr>
          <w:rFonts w:asciiTheme="minorHAnsi" w:hAnsiTheme="minorHAnsi" w:cstheme="minorHAnsi"/>
        </w:rPr>
        <w:t xml:space="preserve">.3k </w:t>
      </w:r>
    </w:p>
    <w:p w14:paraId="26C19F95" w14:textId="247473C5" w:rsidR="00571B09" w:rsidRPr="00A14CB2" w:rsidRDefault="008E663A" w:rsidP="005A4D89">
      <w:pPr>
        <w:spacing w:after="200" w:line="259" w:lineRule="auto"/>
        <w:ind w:left="0" w:firstLine="0"/>
        <w:rPr>
          <w:rFonts w:asciiTheme="minorHAnsi" w:hAnsiTheme="minorHAnsi" w:cstheme="minorHAnsi"/>
        </w:rPr>
      </w:pPr>
      <w:r w:rsidRPr="00A14CB2">
        <w:rPr>
          <w:rFonts w:asciiTheme="minorHAnsi" w:hAnsiTheme="minorHAnsi" w:cstheme="minorHAnsi"/>
        </w:rPr>
        <w:t>Salaries and expenses were up against budget by £</w:t>
      </w:r>
      <w:r w:rsidR="005A4D89">
        <w:rPr>
          <w:rFonts w:asciiTheme="minorHAnsi" w:hAnsiTheme="minorHAnsi" w:cstheme="minorHAnsi"/>
        </w:rPr>
        <w:t>9.4</w:t>
      </w:r>
      <w:r w:rsidRPr="00A14CB2">
        <w:rPr>
          <w:rFonts w:asciiTheme="minorHAnsi" w:hAnsiTheme="minorHAnsi" w:cstheme="minorHAnsi"/>
        </w:rPr>
        <w:t xml:space="preserve">k </w:t>
      </w:r>
      <w:r w:rsidR="005556ED" w:rsidRPr="00A14CB2">
        <w:rPr>
          <w:rFonts w:asciiTheme="minorHAnsi" w:hAnsiTheme="minorHAnsi" w:cstheme="minorHAnsi"/>
        </w:rPr>
        <w:t>because of</w:t>
      </w:r>
      <w:r w:rsidRPr="00A14CB2">
        <w:rPr>
          <w:rFonts w:asciiTheme="minorHAnsi" w:hAnsiTheme="minorHAnsi" w:cstheme="minorHAnsi"/>
        </w:rPr>
        <w:t xml:space="preserve"> </w:t>
      </w:r>
      <w:r w:rsidR="005A4D89">
        <w:rPr>
          <w:rFonts w:asciiTheme="minorHAnsi" w:hAnsiTheme="minorHAnsi" w:cstheme="minorHAnsi"/>
        </w:rPr>
        <w:t>the settlement with the previous Clerk and the web and email upgrades, which were funded by the Friends.</w:t>
      </w:r>
      <w:r w:rsidRPr="00A14CB2">
        <w:rPr>
          <w:rFonts w:asciiTheme="minorHAnsi" w:hAnsiTheme="minorHAnsi" w:cstheme="minorHAnsi"/>
        </w:rPr>
        <w:t xml:space="preserve"> </w:t>
      </w:r>
    </w:p>
    <w:p w14:paraId="2F9A7C94" w14:textId="5CF5D9F8" w:rsidR="00571B09" w:rsidRPr="00A14CB2" w:rsidRDefault="008E663A" w:rsidP="005A4D89">
      <w:pPr>
        <w:ind w:left="-5"/>
        <w:rPr>
          <w:rFonts w:asciiTheme="minorHAnsi" w:hAnsiTheme="minorHAnsi" w:cstheme="minorHAnsi"/>
        </w:rPr>
      </w:pPr>
      <w:r w:rsidRPr="00A14CB2">
        <w:rPr>
          <w:rFonts w:asciiTheme="minorHAnsi" w:hAnsiTheme="minorHAnsi" w:cstheme="minorHAnsi"/>
        </w:rPr>
        <w:t xml:space="preserve">The costs of maintenance of the commons </w:t>
      </w:r>
      <w:r w:rsidR="00157C50" w:rsidRPr="00A14CB2">
        <w:rPr>
          <w:rFonts w:asciiTheme="minorHAnsi" w:hAnsiTheme="minorHAnsi" w:cstheme="minorHAnsi"/>
        </w:rPr>
        <w:t>were</w:t>
      </w:r>
      <w:r w:rsidRPr="00A14CB2">
        <w:rPr>
          <w:rFonts w:asciiTheme="minorHAnsi" w:hAnsiTheme="minorHAnsi" w:cstheme="minorHAnsi"/>
        </w:rPr>
        <w:t xml:space="preserve"> under budget by £</w:t>
      </w:r>
      <w:r w:rsidR="005A4D89">
        <w:rPr>
          <w:rFonts w:asciiTheme="minorHAnsi" w:hAnsiTheme="minorHAnsi" w:cstheme="minorHAnsi"/>
        </w:rPr>
        <w:t>4.5</w:t>
      </w:r>
      <w:r w:rsidRPr="00A14CB2">
        <w:rPr>
          <w:rFonts w:asciiTheme="minorHAnsi" w:hAnsiTheme="minorHAnsi" w:cstheme="minorHAnsi"/>
        </w:rPr>
        <w:t xml:space="preserve">k. </w:t>
      </w:r>
    </w:p>
    <w:p w14:paraId="494CA52E" w14:textId="1C69C0C9" w:rsidR="005556ED" w:rsidRDefault="005556ED" w:rsidP="005A4D89">
      <w:pPr>
        <w:spacing w:after="181" w:line="259" w:lineRule="auto"/>
        <w:ind w:left="-5"/>
        <w:rPr>
          <w:rFonts w:asciiTheme="minorHAnsi" w:hAnsiTheme="minorHAnsi" w:cstheme="minorHAnsi"/>
        </w:rPr>
      </w:pPr>
    </w:p>
    <w:p w14:paraId="2015A827" w14:textId="7A8A0B4D" w:rsidR="005556ED" w:rsidRPr="005556ED" w:rsidRDefault="005556ED" w:rsidP="005A4D89">
      <w:pPr>
        <w:spacing w:after="181" w:line="259" w:lineRule="auto"/>
        <w:ind w:left="-5"/>
        <w:rPr>
          <w:rFonts w:asciiTheme="minorHAnsi" w:hAnsiTheme="minorHAnsi" w:cstheme="minorHAnsi"/>
          <w:b/>
          <w:bCs/>
        </w:rPr>
      </w:pPr>
      <w:r w:rsidRPr="005556ED">
        <w:rPr>
          <w:rFonts w:asciiTheme="minorHAnsi" w:hAnsiTheme="minorHAnsi" w:cstheme="minorHAnsi"/>
          <w:b/>
          <w:bCs/>
        </w:rPr>
        <w:t>Action Required</w:t>
      </w:r>
    </w:p>
    <w:p w14:paraId="1B79F616" w14:textId="5298C1B9" w:rsidR="00571B09" w:rsidRPr="00A14CB2" w:rsidRDefault="008E663A" w:rsidP="005A4D89">
      <w:pPr>
        <w:spacing w:after="181" w:line="259" w:lineRule="auto"/>
        <w:ind w:left="-5"/>
        <w:rPr>
          <w:rFonts w:asciiTheme="minorHAnsi" w:hAnsiTheme="minorHAnsi" w:cstheme="minorHAnsi"/>
        </w:rPr>
      </w:pPr>
      <w:r w:rsidRPr="00A14CB2">
        <w:rPr>
          <w:rFonts w:asciiTheme="minorHAnsi" w:hAnsiTheme="minorHAnsi" w:cstheme="minorHAnsi"/>
        </w:rPr>
        <w:t>Annual Governance and Accountability Return (AGAR) forms are set out in separate documents</w:t>
      </w:r>
      <w:r w:rsidR="005A4D89">
        <w:rPr>
          <w:rFonts w:asciiTheme="minorHAnsi" w:hAnsiTheme="minorHAnsi" w:cstheme="minorHAnsi"/>
        </w:rPr>
        <w:t xml:space="preserve"> as the Auditor’s part cannot be altered by us</w:t>
      </w:r>
      <w:r w:rsidRPr="00A14CB2">
        <w:rPr>
          <w:rFonts w:asciiTheme="minorHAnsi" w:hAnsiTheme="minorHAnsi" w:cstheme="minorHAnsi"/>
        </w:rPr>
        <w:t xml:space="preserve">. </w:t>
      </w:r>
    </w:p>
    <w:p w14:paraId="30E27333" w14:textId="14B5DBEF" w:rsidR="00571B09" w:rsidRPr="00A14CB2" w:rsidRDefault="008E663A">
      <w:pPr>
        <w:ind w:left="-5"/>
        <w:rPr>
          <w:rFonts w:asciiTheme="minorHAnsi" w:hAnsiTheme="minorHAnsi" w:cstheme="minorHAnsi"/>
        </w:rPr>
      </w:pPr>
      <w:r w:rsidRPr="00A14CB2">
        <w:rPr>
          <w:rFonts w:asciiTheme="minorHAnsi" w:hAnsiTheme="minorHAnsi" w:cstheme="minorHAnsi"/>
        </w:rPr>
        <w:t>The Conservators are hereby requested to approve the annual financial statements and associated AGAR returns for the year ended 31 March 202</w:t>
      </w:r>
      <w:r w:rsidR="005A4D89">
        <w:rPr>
          <w:rFonts w:asciiTheme="minorHAnsi" w:hAnsiTheme="minorHAnsi" w:cstheme="minorHAnsi"/>
        </w:rPr>
        <w:t>1</w:t>
      </w:r>
      <w:r w:rsidRPr="00A14CB2">
        <w:rPr>
          <w:rFonts w:asciiTheme="minorHAnsi" w:hAnsiTheme="minorHAnsi" w:cstheme="minorHAnsi"/>
        </w:rPr>
        <w:t xml:space="preserve">. </w:t>
      </w:r>
    </w:p>
    <w:p w14:paraId="6E48C617" w14:textId="77777777" w:rsidR="005556ED" w:rsidRDefault="005556ED">
      <w:pPr>
        <w:spacing w:after="181" w:line="259" w:lineRule="auto"/>
        <w:ind w:left="-5"/>
        <w:rPr>
          <w:rFonts w:asciiTheme="minorHAnsi" w:hAnsiTheme="minorHAnsi" w:cstheme="minorHAnsi"/>
          <w:b/>
          <w:bCs/>
        </w:rPr>
      </w:pPr>
    </w:p>
    <w:p w14:paraId="7A6A30C2" w14:textId="1CE091DE" w:rsidR="00571B09" w:rsidRPr="005556ED" w:rsidRDefault="008E663A">
      <w:pPr>
        <w:spacing w:after="181" w:line="259" w:lineRule="auto"/>
        <w:ind w:left="-5"/>
        <w:rPr>
          <w:rFonts w:asciiTheme="minorHAnsi" w:hAnsiTheme="minorHAnsi" w:cstheme="minorHAnsi"/>
          <w:b/>
          <w:bCs/>
        </w:rPr>
      </w:pPr>
      <w:r w:rsidRPr="005556ED">
        <w:rPr>
          <w:rFonts w:asciiTheme="minorHAnsi" w:hAnsiTheme="minorHAnsi" w:cstheme="minorHAnsi"/>
          <w:b/>
          <w:bCs/>
        </w:rPr>
        <w:t>Financial activity in the two months to 31 May 202</w:t>
      </w:r>
      <w:r w:rsidR="00FD042D" w:rsidRPr="005556ED">
        <w:rPr>
          <w:rFonts w:asciiTheme="minorHAnsi" w:hAnsiTheme="minorHAnsi" w:cstheme="minorHAnsi"/>
          <w:b/>
          <w:bCs/>
        </w:rPr>
        <w:t>1</w:t>
      </w:r>
    </w:p>
    <w:p w14:paraId="56DD7C62" w14:textId="097F51AA" w:rsidR="00571B09" w:rsidRPr="00A14CB2" w:rsidRDefault="008E663A">
      <w:pPr>
        <w:ind w:left="-5"/>
        <w:rPr>
          <w:rFonts w:asciiTheme="minorHAnsi" w:hAnsiTheme="minorHAnsi" w:cstheme="minorHAnsi"/>
        </w:rPr>
      </w:pPr>
      <w:r w:rsidRPr="00A14CB2">
        <w:rPr>
          <w:rFonts w:asciiTheme="minorHAnsi" w:hAnsiTheme="minorHAnsi" w:cstheme="minorHAnsi"/>
        </w:rPr>
        <w:t>Financial activity in the two months to 31 May 202</w:t>
      </w:r>
      <w:r w:rsidR="00FD042D">
        <w:rPr>
          <w:rFonts w:asciiTheme="minorHAnsi" w:hAnsiTheme="minorHAnsi" w:cstheme="minorHAnsi"/>
        </w:rPr>
        <w:t>1</w:t>
      </w:r>
      <w:r w:rsidRPr="00A14CB2">
        <w:rPr>
          <w:rFonts w:asciiTheme="minorHAnsi" w:hAnsiTheme="minorHAnsi" w:cstheme="minorHAnsi"/>
        </w:rPr>
        <w:t xml:space="preserve"> has been relatively quiet. The precept for the 6 months to 31 October 2020 of £8</w:t>
      </w:r>
      <w:r w:rsidR="00CE07C5">
        <w:rPr>
          <w:rFonts w:asciiTheme="minorHAnsi" w:hAnsiTheme="minorHAnsi" w:cstheme="minorHAnsi"/>
        </w:rPr>
        <w:t>3,837</w:t>
      </w:r>
      <w:r w:rsidRPr="00A14CB2">
        <w:rPr>
          <w:rFonts w:asciiTheme="minorHAnsi" w:hAnsiTheme="minorHAnsi" w:cstheme="minorHAnsi"/>
        </w:rPr>
        <w:t xml:space="preserve"> has been received and payments have been largely on accruals for work/salaries costs arising in respect of the period up to 31 March 202</w:t>
      </w:r>
      <w:r w:rsidR="00CE07C5">
        <w:rPr>
          <w:rFonts w:asciiTheme="minorHAnsi" w:hAnsiTheme="minorHAnsi" w:cstheme="minorHAnsi"/>
        </w:rPr>
        <w:t>1</w:t>
      </w:r>
      <w:r w:rsidRPr="00A14CB2">
        <w:rPr>
          <w:rFonts w:asciiTheme="minorHAnsi" w:hAnsiTheme="minorHAnsi" w:cstheme="minorHAnsi"/>
        </w:rPr>
        <w:t xml:space="preserve"> together with the monthly litter contract payments. </w:t>
      </w:r>
    </w:p>
    <w:p w14:paraId="09F9A9D3" w14:textId="40DE5983" w:rsidR="00571B09" w:rsidRPr="00A14CB2" w:rsidRDefault="00157C50">
      <w:pPr>
        <w:ind w:left="-5"/>
        <w:rPr>
          <w:rFonts w:asciiTheme="minorHAnsi" w:hAnsiTheme="minorHAnsi" w:cstheme="minorHAnsi"/>
        </w:rPr>
      </w:pPr>
      <w:r w:rsidRPr="00A14CB2">
        <w:rPr>
          <w:rFonts w:asciiTheme="minorHAnsi" w:hAnsiTheme="minorHAnsi" w:cstheme="minorHAnsi"/>
        </w:rPr>
        <w:t>On</w:t>
      </w:r>
      <w:r w:rsidR="008E663A" w:rsidRPr="00A14CB2">
        <w:rPr>
          <w:rFonts w:asciiTheme="minorHAnsi" w:hAnsiTheme="minorHAnsi" w:cstheme="minorHAnsi"/>
        </w:rPr>
        <w:t xml:space="preserve"> </w:t>
      </w:r>
      <w:r w:rsidR="005556ED" w:rsidRPr="00A14CB2">
        <w:rPr>
          <w:rFonts w:asciiTheme="minorHAnsi" w:hAnsiTheme="minorHAnsi" w:cstheme="minorHAnsi"/>
        </w:rPr>
        <w:t>31 May 202</w:t>
      </w:r>
      <w:r w:rsidR="005556ED">
        <w:rPr>
          <w:rFonts w:asciiTheme="minorHAnsi" w:hAnsiTheme="minorHAnsi" w:cstheme="minorHAnsi"/>
        </w:rPr>
        <w:t>1,</w:t>
      </w:r>
      <w:r w:rsidR="008E663A" w:rsidRPr="00A14CB2">
        <w:rPr>
          <w:rFonts w:asciiTheme="minorHAnsi" w:hAnsiTheme="minorHAnsi" w:cstheme="minorHAnsi"/>
        </w:rPr>
        <w:t xml:space="preserve"> the Conservators had some £13</w:t>
      </w:r>
      <w:r w:rsidR="00CE07C5">
        <w:rPr>
          <w:rFonts w:asciiTheme="minorHAnsi" w:hAnsiTheme="minorHAnsi" w:cstheme="minorHAnsi"/>
        </w:rPr>
        <w:t>4</w:t>
      </w:r>
      <w:r w:rsidR="008E663A" w:rsidRPr="00A14CB2">
        <w:rPr>
          <w:rFonts w:asciiTheme="minorHAnsi" w:hAnsiTheme="minorHAnsi" w:cstheme="minorHAnsi"/>
        </w:rPr>
        <w:t xml:space="preserve">,000 in cash at bank and on deposit which is normal for this time of year. </w:t>
      </w:r>
    </w:p>
    <w:p w14:paraId="49F4BE8C" w14:textId="77777777" w:rsidR="00571B09" w:rsidRPr="00A14CB2" w:rsidRDefault="008E663A">
      <w:pPr>
        <w:ind w:left="-5"/>
        <w:rPr>
          <w:rFonts w:asciiTheme="minorHAnsi" w:hAnsiTheme="minorHAnsi" w:cstheme="minorHAnsi"/>
        </w:rPr>
      </w:pPr>
      <w:r w:rsidRPr="00A14CB2">
        <w:rPr>
          <w:rFonts w:asciiTheme="minorHAnsi" w:hAnsiTheme="minorHAnsi" w:cstheme="minorHAnsi"/>
        </w:rPr>
        <w:t xml:space="preserve">The Conservators are asked to note this financial activity report. </w:t>
      </w:r>
    </w:p>
    <w:p w14:paraId="4D3ED1DB" w14:textId="77777777" w:rsidR="00571B09" w:rsidRPr="00A14CB2" w:rsidRDefault="008E663A">
      <w:pPr>
        <w:spacing w:after="183" w:line="259" w:lineRule="auto"/>
        <w:ind w:left="0" w:firstLine="0"/>
        <w:rPr>
          <w:rFonts w:asciiTheme="minorHAnsi" w:hAnsiTheme="minorHAnsi" w:cstheme="minorHAnsi"/>
        </w:rPr>
      </w:pPr>
      <w:r w:rsidRPr="00A14CB2">
        <w:rPr>
          <w:rFonts w:asciiTheme="minorHAnsi" w:hAnsiTheme="minorHAnsi" w:cstheme="minorHAnsi"/>
        </w:rPr>
        <w:t xml:space="preserve"> </w:t>
      </w:r>
    </w:p>
    <w:p w14:paraId="7E05A5F5" w14:textId="61F9771C" w:rsidR="00571B09" w:rsidRPr="00A14CB2" w:rsidRDefault="00CE07C5">
      <w:pPr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Alan Leale-Green</w:t>
      </w:r>
    </w:p>
    <w:p w14:paraId="0EA9B67A" w14:textId="78E45564" w:rsidR="00CE07C5" w:rsidRPr="00A14CB2" w:rsidRDefault="008E663A" w:rsidP="005556ED">
      <w:pPr>
        <w:ind w:left="-5"/>
        <w:rPr>
          <w:rFonts w:asciiTheme="minorHAnsi" w:hAnsiTheme="minorHAnsi" w:cstheme="minorHAnsi"/>
        </w:rPr>
      </w:pPr>
      <w:r w:rsidRPr="00A14CB2">
        <w:rPr>
          <w:rFonts w:asciiTheme="minorHAnsi" w:hAnsiTheme="minorHAnsi" w:cstheme="minorHAnsi"/>
        </w:rPr>
        <w:t>June 202</w:t>
      </w:r>
      <w:r w:rsidR="00CE07C5">
        <w:rPr>
          <w:rFonts w:asciiTheme="minorHAnsi" w:hAnsiTheme="minorHAnsi" w:cstheme="minorHAnsi"/>
        </w:rPr>
        <w:t>1</w:t>
      </w:r>
    </w:p>
    <w:sectPr w:rsidR="00CE07C5" w:rsidRPr="00A14CB2">
      <w:footerReference w:type="default" r:id="rId7"/>
      <w:pgSz w:w="11906" w:h="16838"/>
      <w:pgMar w:top="1481" w:right="1448" w:bottom="15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8BCF7" w14:textId="77777777" w:rsidR="00DA33EE" w:rsidRDefault="00DA33EE" w:rsidP="00FD7888">
      <w:pPr>
        <w:spacing w:after="0" w:line="240" w:lineRule="auto"/>
      </w:pPr>
      <w:r>
        <w:separator/>
      </w:r>
    </w:p>
  </w:endnote>
  <w:endnote w:type="continuationSeparator" w:id="0">
    <w:p w14:paraId="1A601409" w14:textId="77777777" w:rsidR="00DA33EE" w:rsidRDefault="00DA33EE" w:rsidP="00FD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21558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DB17EC5" w14:textId="2B0C115C" w:rsidR="00FD7888" w:rsidRDefault="00FD788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D969E5" w14:textId="77777777" w:rsidR="00FD7888" w:rsidRDefault="00FD7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7669F" w14:textId="77777777" w:rsidR="00DA33EE" w:rsidRDefault="00DA33EE" w:rsidP="00FD7888">
      <w:pPr>
        <w:spacing w:after="0" w:line="240" w:lineRule="auto"/>
      </w:pPr>
      <w:r>
        <w:separator/>
      </w:r>
    </w:p>
  </w:footnote>
  <w:footnote w:type="continuationSeparator" w:id="0">
    <w:p w14:paraId="1B929150" w14:textId="77777777" w:rsidR="00DA33EE" w:rsidRDefault="00DA33EE" w:rsidP="00FD7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02DBE"/>
    <w:multiLevelType w:val="hybridMultilevel"/>
    <w:tmpl w:val="FD1A6592"/>
    <w:lvl w:ilvl="0" w:tplc="079AE278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5038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2431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2A4D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869F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A809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20057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94F55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7232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B09"/>
    <w:rsid w:val="00003A38"/>
    <w:rsid w:val="00157C50"/>
    <w:rsid w:val="005556ED"/>
    <w:rsid w:val="00571B09"/>
    <w:rsid w:val="005A4D89"/>
    <w:rsid w:val="005F7847"/>
    <w:rsid w:val="00641777"/>
    <w:rsid w:val="007B5C3B"/>
    <w:rsid w:val="008563A1"/>
    <w:rsid w:val="008E663A"/>
    <w:rsid w:val="00A14CB2"/>
    <w:rsid w:val="00A82820"/>
    <w:rsid w:val="00CE07C5"/>
    <w:rsid w:val="00DA33EE"/>
    <w:rsid w:val="00EF262A"/>
    <w:rsid w:val="00FD042D"/>
    <w:rsid w:val="00FD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00421"/>
  <w15:docId w15:val="{8E86E524-D833-4A3C-A430-EDCA195B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2" w:line="271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7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888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D7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88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TWCCJun20FinanceReport</vt:lpstr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TWCCJun20FinanceReport</dc:title>
  <dc:subject/>
  <dc:creator>Philip</dc:creator>
  <cp:keywords/>
  <cp:lastModifiedBy>Alan Leale-Green</cp:lastModifiedBy>
  <cp:revision>2</cp:revision>
  <cp:lastPrinted>2021-06-10T13:33:00Z</cp:lastPrinted>
  <dcterms:created xsi:type="dcterms:W3CDTF">2021-06-14T08:19:00Z</dcterms:created>
  <dcterms:modified xsi:type="dcterms:W3CDTF">2021-06-14T08:19:00Z</dcterms:modified>
</cp:coreProperties>
</file>